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13.png" ContentType="image/png"/>
  <Override PartName="/word/media/rId20.png" ContentType="image/png"/>
  <Override PartName="/word/media/rId31.png" ContentType="image/png"/>
  <Override PartName="/word/media/rId27.png" ContentType="image/png"/>
  <Override PartName="/word/media/rId24.png" ContentType="image/png"/>
  <Override PartName="/word/media/rId17.png" ContentType="image/png"/>
  <Override PartName="/word/media/rId45.png" ContentType="image/png"/>
  <Override PartName="/word/media/rId41.png" ContentType="image/png"/>
  <Override PartName="/word/media/rId52.png" ContentType="image/png"/>
  <Override PartName="/word/media/rId10.png" ContentType="image/png"/>
  <Override PartName="/word/media/rId34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23"/>
      </w:tblGrid>
      <w:tr>
        <w:trPr>
          <w:cantSplit/>
          <w:trHeight w:val="1247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Федеральное государственное бюджетное образовательное учреждение высшего образования</w:t>
            </w:r>
          </w:p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«Национальный исследовательский университет «МЭИ»</w:t>
            </w:r>
          </w:p>
        </w:tc>
      </w:tr>
      <w:tr>
        <w:trPr>
          <w:cantSplit/>
          <w:trHeight w:val="238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102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КУРСОВАЯ  РАБОТА</w:t>
            </w:r>
          </w:p>
          <w:p>
            <w:pPr>
              <w:spacing w:before="113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по курсу "Микропроцессорные системы"</w:t>
            </w:r>
          </w:p>
        </w:tc>
      </w:tr>
      <w:tr>
        <w:trPr>
          <w:cantSplit/>
          <w:trHeight w:val="102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136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32"/>
              </w:rPr>
            </w:pPr>
            <w:r>
              <w:rPr>
                <w:sz w:val="32"/>
              </w:rPr>
              <w:t xml:space="preserve">Проектирование микропроцессорной системы на базе МК i8051</w:t>
            </w:r>
          </w:p>
          <w:p>
            <w:pPr>
              <w:spacing w:before="340" w:after="0"/>
              <w:ind w:lef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Аппаратная часть</w:t>
            </w:r>
          </w:p>
        </w:tc>
      </w:tr>
      <w:tr>
        <w:trPr>
          <w:cantSplit/>
          <w:trHeight w:val="1134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1814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Выполнил: Грошев А.В.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Группа: А-06-23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Вариант: 1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Дата: 07.10.26</w:t>
            </w:r>
          </w:p>
        </w:tc>
      </w:tr>
      <w:tr>
        <w:trPr>
          <w:cantSplit/>
          <w:trHeight w:val="907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Проверил: Ключанский А.А.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Дата: </w:t>
            </w:r>
          </w:p>
        </w:tc>
      </w:tr>
      <w:tr>
        <w:trPr>
          <w:cantSplit/>
          <w:trHeight w:val="2438" w:hRule="exact"/>
        </w:trPr>
        <w:tc>
          <w:tcPr>
            <w:tcW w:w="9923" w:type="dxa"/>
            <w:vAlign w:val="bottom"/>
          </w:tcPr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Москва, 2026</w:t>
            </w:r>
          </w:p>
        </w:tc>
      </w:tr>
    </w:tbl>
    <w:p>
      <w:pPr>
        <w:spacing w:before="0" w:after="0" w:line="20" w:lineRule="exact"/>
        <w:ind w:left="0" w:firstLine="0"/>
        <w:rPr>
          <w:sz w:val="2"/>
        </w:rPr>
      </w:pPr>
    </w:p>
    <w:p>
      <w:pPr>
        <w:pStyle w:val="TOCHeading"/>
      </w:pPr>
      <w:r>
        <w:br w:type="page"/>
      </w:r>
      <w:r>
        <w:t>СОДЕРЖАНИЕ</w:t>
      </w:r>
    </w:p>
    <w:tbl>
      <w:tblPr>
        <w:tblW w:w="992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9243"/>
        <w:gridCol w:w="680"/>
      </w:tblGrid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ВВЕДЕНИЕ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3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1 Разработка аппаратной части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1.1 Разработка структурной и функциональной схем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1.2 Разработка микропроцессорного устройства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1.3 Разработка панели управления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8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1.4 Разработка двухпортового буфера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10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1.5 Разработка интерфейсных устройств ввода-вывода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13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1.6 Повышение помехоустойчивости МПС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СПИСОК ЛИТЕРАТУРЫ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15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ПРИЛОЖЕНИЕ А. Перечень элементов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16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ПРИЛОЖЕНИЕ Б. Схема электрическая принципиальная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17</w:t>
            </w:r>
          </w:p>
        </w:tc>
      </w:tr>
    </w:tbl>
    <w:bookmarkStart w:id="9" w:name="введение"/>
    <w:p>
      <w:pPr>
        <w:pStyle w:val="Heading1"/>
      </w:pPr>
      <w:r>
        <w:br w:type="page"/>
      </w:r>
      <w:r>
        <w:t xml:space="preserve">ВВЕДЕНИЕ</w:t>
      </w:r>
    </w:p>
    <w:p>
      <w:pPr>
        <w:pStyle w:val="FirstParagraph"/>
      </w:pPr>
      <w:r>
        <w:t xml:space="preserve">Целью курсовой работы является приобретение навыков разработки микропроцессорных систем (МПС) и оформления документации на примере проектирования системы управления объектом. МПС принимает информацию {</w:t>
      </w:r>
      <w:r>
        <w:rPr>
          <w:i/>
          <w:iCs/>
        </w:rPr>
        <w:t xml:space="preserve">X</w:t>
      </w:r>
      <w:r>
        <w:t xml:space="preserve">} об объекте управления от датчиков, вырабатывает управляющие воздействия {</w:t>
      </w:r>
      <w:r>
        <w:rPr>
          <w:i/>
          <w:iCs/>
        </w:rPr>
        <w:t xml:space="preserve">Y</w:t>
      </w:r>
      <w:r>
        <w:t xml:space="preserve">} в соответствии с заданным алгоритмом управления и подаёт их на исполнительные механизмы.</w:t>
      </w:r>
    </w:p>
    <w:p>
      <w:pPr>
        <w:pStyle w:val="BodyText"/>
      </w:pPr>
      <w:r>
        <w:t xml:space="preserve">В качестве основы для построения МПС выбран микроконтроллер (МК) семейства MCS-51 — AT89S53, который реализует задачи микропроцессорного модуля. Оперативную память образуют внутреннее ОЗУ МК и внешнее двухпортовое статическое ОЗУ IDT7005, в котором организуется кольцевой буфер. Постоянная память и контроллер прерываний — внутренние узлы МК. Устройства ввода-вывода — выводы портов МК, второй порт буфера и 8-разрядный выходной регистр. Пульт управления — матричная клавиатура и семисегментный индикатор.</w:t>
      </w:r>
    </w:p>
    <w:p>
      <w:pPr>
        <w:pStyle w:val="BodyText"/>
      </w:pPr>
      <w:r>
        <w:t xml:space="preserve">В работе в соответствии с ЕСКД разработаны структурная, функциональная и принципиальная электрические схемы МПС (вариант 1, группа А-06-23), выполнены расчёты элементов сопряжения и построены временные диаграммы обмена МК с буфером.</w:t>
      </w:r>
    </w:p>
    <w:p>
      <w:pPr>
        <w:pStyle w:val="BodyText"/>
      </w:pPr>
      <w:r>
        <w:t xml:space="preserve">Проектируемая система на AT89S53 собирает отсчёты X2, которые присылает внешнее устройство, в кольцевой буфер на двухпортовом ОЗУ IDT7005, а по ним и по числу X1, набранному оператором, вырабатывает выходной код Y2 = (7 + X1 + X2) mod 256 со стробом на P1.2. В моём варианте (А-06, M = 1) клавиатура 3×4 — три столбца и четыре строки, нажатие сообщается прерыванием INT0; введённая цифра выводится на семисегментный индикатор с общим катодом и гаснет через T3 = 2150 мс. Клавиша «Тест» запускает строб Y1 длительностью 176 мс на выводе P1.1, а буфер рассчитан на 1210 байт (адреса 2000h–24B9h). Все внешние устройства выбираются дешифратором 74HC138 по старшим линиям адреса A13–A15, пока CS_EN = P3.4 равен 1.</w:t>
      </w:r>
    </w:p>
    <w:bookmarkEnd w:id="9"/>
    <w:bookmarkStart w:id="49" w:name="разработка-аппаратной-части"/>
    <w:p>
      <w:pPr>
        <w:pStyle w:val="Heading1"/>
      </w:pPr>
      <w:r>
        <w:br w:type="page"/>
      </w:r>
      <w:r>
        <w:t xml:space="preserve">1 Разработка аппаратной части</w:t>
      </w:r>
    </w:p>
    <w:bookmarkStart w:id="16" w:name="Xe1ea72b8e7b3d2e9de7baaa92f31fae36de88a3"/>
    <w:p>
      <w:pPr>
        <w:pStyle w:val="Heading2"/>
      </w:pPr>
      <w:r>
        <w:t xml:space="preserve">1.1 Разработка структурной и функциональной схем</w:t>
      </w:r>
    </w:p>
    <w:p>
      <w:pPr>
        <w:pStyle w:val="FirstParagraph"/>
      </w:pPr>
      <w:r>
        <w:t xml:space="preserve">Структурная схема МПС (рисунок 1) задана техническим заданием и состоит из микропроцессорного модуля MPM, оперативного и постоянного запоминающих устройств RAM и ROM, устройств ввода-вывода IOU (входные сигналы</w:t>
      </w:r>
      <w:r>
        <w:t xml:space="preserve"> </w:t>
      </w:r>
      <w:r>
        <w:rPr>
          <w:i/>
          <w:iCs/>
        </w:rPr>
        <w:t xml:space="preserve">X</w:t>
      </w:r>
      <w:r>
        <w:t xml:space="preserve">, выходные</w:t>
      </w:r>
      <w:r>
        <w:t xml:space="preserve"> </w:t>
      </w:r>
      <w:r>
        <w:rPr>
          <w:i/>
          <w:iCs/>
        </w:rPr>
        <w:t xml:space="preserve">Y</w:t>
      </w:r>
      <w:r>
        <w:t xml:space="preserve">), контроллера прерываний IC и пульта управления CPAN, соединённых общей шиной.</w:t>
      </w:r>
    </w:p>
    <w:p>
      <w:pPr>
        <w:pStyle w:val="Figure"/>
      </w:pPr>
      <w:r>
        <w:drawing>
          <wp:inline>
            <wp:extent cx="5399999" cy="2429999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struct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242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 — Структурная схема МПС</w:t>
      </w:r>
    </w:p>
    <w:p>
      <w:pPr>
        <w:pStyle w:val="Compact"/>
        <w:numPr>
          <w:ilvl w:val="0"/>
          <w:numId w:val="1001"/>
        </w:numPr>
      </w:pPr>
      <w:r>
        <w:t xml:space="preserve">MPM — микроконтроллер AT89S53, 12 МГц, выполняет программу управления;</w:t>
      </w:r>
    </w:p>
    <w:p>
      <w:pPr>
        <w:pStyle w:val="Compact"/>
        <w:numPr>
          <w:ilvl w:val="0"/>
          <w:numId w:val="1001"/>
        </w:numPr>
      </w:pPr>
      <w:r>
        <w:t xml:space="preserve">RAM — внутреннее ОЗУ МК (переменные, указатели и флаги буфера, стек) и внешнее двухпортовое ОЗУ IDT7005 (кольцевой буфер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ROM — внутренняя флэш-память программ МК (12 Кбайт);</w:t>
      </w:r>
    </w:p>
    <w:p>
      <w:pPr>
        <w:pStyle w:val="Compact"/>
        <w:numPr>
          <w:ilvl w:val="0"/>
          <w:numId w:val="1001"/>
        </w:numPr>
      </w:pPr>
      <w:r>
        <w:t xml:space="preserve">IC — система прерываний МК: INT0 (клавиатура), INT1 (строб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), таймеры 0 и 1;</w:t>
      </w:r>
    </w:p>
    <w:p>
      <w:pPr>
        <w:pStyle w:val="Compact"/>
        <w:numPr>
          <w:ilvl w:val="0"/>
          <w:numId w:val="1001"/>
        </w:numPr>
      </w:pPr>
      <w:r>
        <w:t xml:space="preserve">IOU — выводы портов МК (стробы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,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), второй порт буфера (ввод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), выходной регистр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CPAN — матричная клавиатура 3×4 и семисегментный индикатор.</w:t>
      </w:r>
    </w:p>
    <w:p>
      <w:pPr>
        <w:pStyle w:val="FirstParagraph"/>
      </w:pPr>
      <w:r>
        <w:t xml:space="preserve">Функциональная схема (рисунок 2) показывает, какими микросхемами реализованы блоки и как они связаны. Младший байт адреса и данные передаются по порту P0 и фиксируются защёлкой DD3 по сигналу ALE; старшие разряды адреса выдаёт порт P2. Три старших разряда A13–A15 поступают на дешифратор DD4, выходы которого Y0…Y7 — сигналы выбора (CS) внешних устройств; дешифратор работает только при CS_EN = P3.4 = 1.</w:t>
      </w:r>
    </w:p>
    <w:p>
      <w:pPr>
        <w:pStyle w:val="Figure"/>
      </w:pPr>
      <w:r>
        <w:drawing>
          <wp:inline>
            <wp:extent cx="5759999" cy="4404705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func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4404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 — Функциональная схема МПС</w:t>
      </w:r>
    </w:p>
    <w:p>
      <w:pPr>
        <w:pStyle w:val="BodyText"/>
      </w:pPr>
      <w:r>
        <w:t xml:space="preserve">Распределение ресурсов микроконтроллера приведено в таблице 1.</w:t>
      </w:r>
    </w:p>
    <w:p>
      <w:pPr>
        <w:pStyle w:val="TableCaption"/>
      </w:pPr>
      <w:r>
        <w:t xml:space="preserve">Таблица 1 — Распределение ресурсов микроконтроллера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59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Ресурс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мультиплексированная шина: младший байт адреса A0–A7 / данные D0–D7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P2.0–P2.4</w:t>
            </w:r>
          </w:p>
        </w:tc>
        <w:tc>
          <w:tcPr/>
          <w:p>
            <w:pPr>
              <w:pStyle w:val="Compact"/>
            </w:pPr>
            <w:r>
              <w:t xml:space="preserve">адрес A8–A12 (буфер 8 Кбайт — 13 разрядов)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P2.5–P2.7</w:t>
            </w:r>
          </w:p>
        </w:tc>
        <w:tc>
          <w:tcPr/>
          <w:p>
            <w:pPr>
              <w:pStyle w:val="Compact"/>
            </w:pPr>
            <w:r>
              <w:t xml:space="preserve">адрес A13–A15 — входы A0–A2 дешифратора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P1.1</w:t>
            </w:r>
          </w:p>
        </w:tc>
        <w:tc>
          <w:tcPr/>
          <w:p>
            <w:pPr>
              <w:pStyle w:val="Compact"/>
            </w:pPr>
            <w:r>
              <w:t xml:space="preserve">строб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(активный 0), 176 мс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P1.2</w:t>
            </w:r>
          </w:p>
        </w:tc>
        <w:tc>
          <w:tcPr/>
          <w:p>
            <w:pPr>
              <w:pStyle w:val="Compact"/>
            </w:pPr>
            <w:r>
              <w:t xml:space="preserve">строб сопровождения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(активный 0), 1536 мкс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P3.2 (INT0)</w:t>
            </w:r>
          </w:p>
        </w:tc>
        <w:tc>
          <w:tcPr/>
          <w:p>
            <w:pPr>
              <w:pStyle w:val="Compact"/>
            </w:pPr>
            <w:r>
              <w:t xml:space="preserve">прерывание клавиатуры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P3.3 (INT1)</w:t>
            </w:r>
          </w:p>
        </w:tc>
        <w:tc>
          <w:tcPr/>
          <w:p>
            <w:pPr>
              <w:pStyle w:val="Compact"/>
            </w:pPr>
            <w:r>
              <w:t xml:space="preserve">прерывание от строба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P3.4</w:t>
            </w:r>
          </w:p>
        </w:tc>
        <w:tc>
          <w:tcPr/>
          <w:p>
            <w:pPr>
              <w:pStyle w:val="Compact"/>
            </w:pPr>
            <w:r>
              <w:t xml:space="preserve">CS_EN — разрешение дешифратора адреса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P3.6, P3.7</w:t>
            </w:r>
          </w:p>
        </w:tc>
        <w:tc>
          <w:tcPr/>
          <w:p>
            <w:pPr>
              <w:pStyle w:val="Compact"/>
            </w:pPr>
            <w:r>
              <w:t xml:space="preserve">WR, RD — стробы записи и чтения внешней памяти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Таймер 0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= 176 мс и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3</w:t>
            </w:r>
            <w:r>
              <w:t xml:space="preserve"> </w:t>
            </w:r>
            <w:r>
              <w:t xml:space="preserve">= 2,150 с (тик 1 мс)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Таймер 1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= 1536 мкс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Внутреннее ОЗУ</w:t>
            </w:r>
          </w:p>
        </w:tc>
        <w:tc>
          <w:tcPr/>
          <w:p>
            <w:pPr>
              <w:pStyle w:val="Compact"/>
            </w:pPr>
            <w:r>
              <w:t xml:space="preserve">указатели буфера «голова» 38h, «хвост» 3Ah; флаги пустоты 20h.1 и переполнения 20h.7; стек с 08h</w:t>
            </w:r>
          </w:p>
        </w:tc>
      </w:tr>
    </w:tbl>
    <w:bookmarkEnd w:id="16"/>
    <w:bookmarkStart w:id="23" w:name="разработка-микропроцессорного-устройства"/>
    <w:p>
      <w:pPr>
        <w:pStyle w:val="Heading2"/>
      </w:pPr>
      <w:r>
        <w:t xml:space="preserve">1.2 Разработка микропроцессорного устройства</w:t>
      </w:r>
    </w:p>
    <w:p>
      <w:pPr>
        <w:pStyle w:val="FirstParagraph"/>
      </w:pPr>
      <w:r>
        <w:t xml:space="preserve">Схема микропроцессорного устройства приведена на рисунке 3. Тактовая частота задаётся кварцевым резонатором ZQ1 на 12 МГц; машинный цикл МК равен 12 периодам генератора, т. е. 1 мкс. Конденсаторы C1, C2 выбраны по рекомендации производителя МК (30 пФ ± 10 пФ) [1].</w:t>
      </w:r>
    </w:p>
    <w:p>
      <w:pPr>
        <w:pStyle w:val="Figure"/>
      </w:pPr>
      <w:r>
        <w:drawing>
          <wp:inline>
            <wp:extent cx="5651999" cy="3945357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sch-mcu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999" cy="3945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3 — Схема микропроцессорного устройства</w:t>
      </w:r>
    </w:p>
    <w:p>
      <w:pPr>
        <w:pStyle w:val="BodyText"/>
      </w:pPr>
      <w:r>
        <w:t xml:space="preserve">Сброс МК выполняется RC-цепью C3–R1: при включении питания конденсатор заряжается через резистор, и на входе RST держится высокий уровень. По документации [1] для сброса достаточно высокого уровня на RST в течение двух машинных циклов при работающем генераторе. Постоянная времени цепи:</w:t>
      </w:r>
    </w:p>
    <w:p>
      <w:pPr>
        <w:pStyle w:val="Center"/>
      </w:pPr>
      <w:r>
        <w:t xml:space="preserve">τ = R · C = 10 кОм · 10 мкФ = 100 мс</w:t>
      </w:r>
    </w:p>
    <w:p>
      <w:pPr>
        <w:pStyle w:val="BodyText"/>
      </w:pPr>
      <w:r>
        <w:t xml:space="preserve">что многократно превышает 2 мкс и время запуска кварцевого генератора, поэтому сброс надёжен. Вывод EA подключён к +5 В — программа выполняется из внутренней памяти; PSEN не используется.</w:t>
      </w:r>
    </w:p>
    <w:p>
      <w:pPr>
        <w:pStyle w:val="BodyText"/>
      </w:pPr>
      <w:r>
        <w:t xml:space="preserve">Защёлка DD3 (74AC573) фиксирует младший байт адреса с порта P0 по спаду ALE; дальше по P0 передаются данные. Выбор внешних устройств выполняет дешифратор DD4 (74HC138, рисунок 4): на входы A0–A2 поданы разряды адреса A13–A15, входы Ē0 и Ē1 соединены с общим проводом, вход E2 — с выводом CS_EN (P3.4). Номер выхода дешифратора для каждого устройства задан вариантом (таблица 2).</w:t>
      </w:r>
    </w:p>
    <w:p>
      <w:pPr>
        <w:pStyle w:val="Figure"/>
      </w:pPr>
      <w:r>
        <w:drawing>
          <wp:inline>
            <wp:extent cx="1439999" cy="1742097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sch-dec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999" cy="1742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4 — Дешифратор адреса внешних устройств</w:t>
      </w:r>
    </w:p>
    <w:p>
      <w:pPr>
        <w:pStyle w:val="TableCaption"/>
      </w:pPr>
      <w:r>
        <w:t xml:space="preserve">Таблица 2 — Назначение выходов дешифратора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Выход</w:t>
            </w:r>
          </w:p>
        </w:tc>
        <w:tc>
          <w:tcPr/>
          <w:p>
            <w:pPr>
              <w:pStyle w:val="Compac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</w:pPr>
            <w:r>
              <w:t xml:space="preserve">Окно адресов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Y0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00h–1FFFh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Y1</w:t>
            </w:r>
          </w:p>
        </w:tc>
        <w:tc>
          <w:tcPr/>
          <w:p>
            <w:pPr>
              <w:pStyle w:val="Compact"/>
            </w:pPr>
            <w:r>
              <w:t xml:space="preserve">Буфер (IDT7005)</w:t>
            </w:r>
          </w:p>
        </w:tc>
        <w:tc>
          <w:tcPr/>
          <w:p>
            <w:pPr>
              <w:pStyle w:val="Compact"/>
            </w:pPr>
            <w:r>
              <w:t xml:space="preserve">2000h–3FFFh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Y2</w:t>
            </w:r>
          </w:p>
        </w:tc>
        <w:tc>
          <w:tcPr/>
          <w:p>
            <w:pPr>
              <w:pStyle w:val="Compact"/>
            </w:pPr>
            <w:r>
              <w:t xml:space="preserve">Индикатор</w:t>
            </w:r>
          </w:p>
        </w:tc>
        <w:tc>
          <w:tcPr/>
          <w:p>
            <w:pPr>
              <w:pStyle w:val="Compact"/>
            </w:pPr>
            <w:r>
              <w:t xml:space="preserve">4000h–5FFFh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Y3</w:t>
            </w:r>
          </w:p>
        </w:tc>
        <w:tc>
          <w:tcPr/>
          <w:p>
            <w:pPr>
              <w:pStyle w:val="Compact"/>
            </w:pPr>
            <w:r>
              <w:t xml:space="preserve">Регистр Y2</w:t>
            </w:r>
          </w:p>
        </w:tc>
        <w:tc>
          <w:tcPr/>
          <w:p>
            <w:pPr>
              <w:pStyle w:val="Compact"/>
            </w:pPr>
            <w:r>
              <w:t xml:space="preserve">6000h–7FFFh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Y4</w:t>
            </w:r>
          </w:p>
        </w:tc>
        <w:tc>
          <w:tcPr/>
          <w:p>
            <w:pPr>
              <w:pStyle w:val="Compact"/>
            </w:pPr>
            <w:r>
              <w:t xml:space="preserve">Клавиатура</w:t>
            </w:r>
          </w:p>
        </w:tc>
        <w:tc>
          <w:tcPr/>
          <w:p>
            <w:pPr>
              <w:pStyle w:val="Compact"/>
            </w:pPr>
            <w:r>
              <w:t xml:space="preserve">8000h–9FFFh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Y5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0A000h–0BFFFh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Y6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0C000h–0DFFFh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Y7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0E000h–0FFFFh</w:t>
            </w:r>
          </w:p>
        </w:tc>
      </w:tr>
    </w:tbl>
    <w:p>
      <w:pPr>
        <w:pStyle w:val="BodyText"/>
      </w:pPr>
      <w:r>
        <w:t xml:space="preserve">Назначение выводов микроконтроллера приведено в таблице 3, карта адресного пространства — в таблице 4.</w:t>
      </w:r>
    </w:p>
    <w:p>
      <w:pPr>
        <w:pStyle w:val="TableCaption"/>
      </w:pPr>
      <w:r>
        <w:t xml:space="preserve">Таблица 3 — Назначение выводов микроконтроллера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76"/>
        <w:gridCol w:w="1708"/>
        <w:gridCol w:w="4270"/>
        <w:gridCol w:w="11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Вывод</w:t>
            </w:r>
          </w:p>
        </w:tc>
        <w:tc>
          <w:tcPr/>
          <w:p>
            <w:pPr>
              <w:pStyle w:val="Compact"/>
            </w:pPr>
            <w:r>
              <w:t xml:space="preserve">Обозначение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Режим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P1.0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P1.1</w:t>
            </w:r>
          </w:p>
        </w:tc>
        <w:tc>
          <w:tcPr/>
          <w:p>
            <w:pPr>
              <w:pStyle w:val="Compact"/>
            </w:pPr>
            <w:r>
              <w:t xml:space="preserve">строб Y1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P1.2</w:t>
            </w:r>
          </w:p>
        </w:tc>
        <w:tc>
          <w:tcPr/>
          <w:p>
            <w:pPr>
              <w:pStyle w:val="Compact"/>
            </w:pPr>
            <w:r>
              <w:t xml:space="preserve">строб Y2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P1.3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P1.4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P1.5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P1.6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P1.7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RST</w:t>
            </w:r>
          </w:p>
        </w:tc>
        <w:tc>
          <w:tcPr/>
          <w:p>
            <w:pPr>
              <w:pStyle w:val="Compact"/>
            </w:pPr>
            <w:r>
              <w:t xml:space="preserve">сброс (RC-цепь)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P3.0 (RXD)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P3.1 (TXD)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P3.2 (INT0)</w:t>
            </w:r>
          </w:p>
        </w:tc>
        <w:tc>
          <w:tcPr/>
          <w:p>
            <w:pPr>
              <w:pStyle w:val="Compact"/>
            </w:pPr>
            <w:r>
              <w:t xml:space="preserve">прерывание клавиатуры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P3.3 (INT1)</w:t>
            </w:r>
          </w:p>
        </w:tc>
        <w:tc>
          <w:tcPr/>
          <w:p>
            <w:pPr>
              <w:pStyle w:val="Compact"/>
            </w:pPr>
            <w:r>
              <w:t xml:space="preserve">прерывание от строба X2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P3.4 (T0)</w:t>
            </w:r>
          </w:p>
        </w:tc>
        <w:tc>
          <w:tcPr/>
          <w:p>
            <w:pPr>
              <w:pStyle w:val="Compact"/>
            </w:pPr>
            <w:r>
              <w:t xml:space="preserve">CS_EN — разрешение дешифратора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P3.5 (T1)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P3.6 (WR)</w:t>
            </w:r>
          </w:p>
        </w:tc>
        <w:tc>
          <w:tcPr/>
          <w:p>
            <w:pPr>
              <w:pStyle w:val="Compact"/>
            </w:pPr>
            <w:r>
              <w:t xml:space="preserve">строб записи внешней памяти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P3.7 (RD)</w:t>
            </w:r>
          </w:p>
        </w:tc>
        <w:tc>
          <w:tcPr/>
          <w:p>
            <w:pPr>
              <w:pStyle w:val="Compact"/>
            </w:pPr>
            <w:r>
              <w:t xml:space="preserve">строб чтения внешней памяти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XTAL2</w:t>
            </w:r>
          </w:p>
        </w:tc>
        <w:tc>
          <w:tcPr/>
          <w:p>
            <w:pPr>
              <w:pStyle w:val="Compact"/>
            </w:pPr>
            <w:r>
              <w:t xml:space="preserve">кварцевый резонатор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XTAL1</w:t>
            </w:r>
          </w:p>
        </w:tc>
        <w:tc>
          <w:tcPr/>
          <w:p>
            <w:pPr>
              <w:pStyle w:val="Compact"/>
            </w:pPr>
            <w:r>
              <w:t xml:space="preserve">кварцевый резонатор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GND</w:t>
            </w:r>
          </w:p>
        </w:tc>
        <w:tc>
          <w:tcPr/>
          <w:p>
            <w:pPr>
              <w:pStyle w:val="Compact"/>
            </w:pPr>
            <w:r>
              <w:t xml:space="preserve">общий провод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P2.0</w:t>
            </w:r>
          </w:p>
        </w:tc>
        <w:tc>
          <w:tcPr/>
          <w:p>
            <w:pPr>
              <w:pStyle w:val="Compact"/>
            </w:pPr>
            <w:r>
              <w:t xml:space="preserve">адрес A8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P2.1</w:t>
            </w:r>
          </w:p>
        </w:tc>
        <w:tc>
          <w:tcPr/>
          <w:p>
            <w:pPr>
              <w:pStyle w:val="Compact"/>
            </w:pPr>
            <w:r>
              <w:t xml:space="preserve">адрес A9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P2.2</w:t>
            </w:r>
          </w:p>
        </w:tc>
        <w:tc>
          <w:tcPr/>
          <w:p>
            <w:pPr>
              <w:pStyle w:val="Compact"/>
            </w:pPr>
            <w:r>
              <w:t xml:space="preserve">адрес A10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P2.3</w:t>
            </w:r>
          </w:p>
        </w:tc>
        <w:tc>
          <w:tcPr/>
          <w:p>
            <w:pPr>
              <w:pStyle w:val="Compact"/>
            </w:pPr>
            <w:r>
              <w:t xml:space="preserve">адрес A11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P2.4</w:t>
            </w:r>
          </w:p>
        </w:tc>
        <w:tc>
          <w:tcPr/>
          <w:p>
            <w:pPr>
              <w:pStyle w:val="Compact"/>
            </w:pPr>
            <w:r>
              <w:t xml:space="preserve">адрес A12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P2.5</w:t>
            </w:r>
          </w:p>
        </w:tc>
        <w:tc>
          <w:tcPr/>
          <w:p>
            <w:pPr>
              <w:pStyle w:val="Compact"/>
            </w:pPr>
            <w:r>
              <w:t xml:space="preserve">адрес A13 → дешифратор, вход A0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P2.6</w:t>
            </w:r>
          </w:p>
        </w:tc>
        <w:tc>
          <w:tcPr/>
          <w:p>
            <w:pPr>
              <w:pStyle w:val="Compact"/>
            </w:pPr>
            <w:r>
              <w:t xml:space="preserve">адрес A14 → дешифратор, вход A1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P2.7</w:t>
            </w:r>
          </w:p>
        </w:tc>
        <w:tc>
          <w:tcPr/>
          <w:p>
            <w:pPr>
              <w:pStyle w:val="Compact"/>
            </w:pPr>
            <w:r>
              <w:t xml:space="preserve">адрес A15 → дешифратор, вход A2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PSEN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 (программа во внутренней памяти)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ALE</w:t>
            </w:r>
          </w:p>
        </w:tc>
        <w:tc>
          <w:tcPr/>
          <w:p>
            <w:pPr>
              <w:pStyle w:val="Compact"/>
            </w:pPr>
            <w:r>
              <w:t xml:space="preserve">строб защёлки младшего байта адреса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EA</w:t>
            </w:r>
          </w:p>
        </w:tc>
        <w:tc>
          <w:tcPr/>
          <w:p>
            <w:pPr>
              <w:pStyle w:val="Compact"/>
            </w:pPr>
            <w:r>
              <w:t xml:space="preserve">подключён к +5 В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P0.7</w:t>
            </w:r>
          </w:p>
        </w:tc>
        <w:tc>
          <w:tcPr/>
          <w:p>
            <w:pPr>
              <w:pStyle w:val="Compact"/>
            </w:pPr>
            <w:r>
              <w:t xml:space="preserve">адрес A7 / данные D7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P0.6</w:t>
            </w:r>
          </w:p>
        </w:tc>
        <w:tc>
          <w:tcPr/>
          <w:p>
            <w:pPr>
              <w:pStyle w:val="Compact"/>
            </w:pPr>
            <w:r>
              <w:t xml:space="preserve">адрес A6 / данные D6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P0.5</w:t>
            </w:r>
          </w:p>
        </w:tc>
        <w:tc>
          <w:tcPr/>
          <w:p>
            <w:pPr>
              <w:pStyle w:val="Compact"/>
            </w:pPr>
            <w:r>
              <w:t xml:space="preserve">адрес A5 / данные D5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P0.4</w:t>
            </w:r>
          </w:p>
        </w:tc>
        <w:tc>
          <w:tcPr/>
          <w:p>
            <w:pPr>
              <w:pStyle w:val="Compact"/>
            </w:pPr>
            <w:r>
              <w:t xml:space="preserve">адрес A4 / данные D4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P0.3</w:t>
            </w:r>
          </w:p>
        </w:tc>
        <w:tc>
          <w:tcPr/>
          <w:p>
            <w:pPr>
              <w:pStyle w:val="Compact"/>
            </w:pPr>
            <w:r>
              <w:t xml:space="preserve">адрес A3 / данные D3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P0.2</w:t>
            </w:r>
          </w:p>
        </w:tc>
        <w:tc>
          <w:tcPr/>
          <w:p>
            <w:pPr>
              <w:pStyle w:val="Compact"/>
            </w:pPr>
            <w:r>
              <w:t xml:space="preserve">адрес A2 / данные D2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P0.1</w:t>
            </w:r>
          </w:p>
        </w:tc>
        <w:tc>
          <w:tcPr/>
          <w:p>
            <w:pPr>
              <w:pStyle w:val="Compact"/>
            </w:pPr>
            <w:r>
              <w:t xml:space="preserve">адрес A1 / данные D1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P0.0</w:t>
            </w:r>
          </w:p>
        </w:tc>
        <w:tc>
          <w:tcPr/>
          <w:p>
            <w:pPr>
              <w:pStyle w:val="Compact"/>
            </w:pPr>
            <w:r>
              <w:t xml:space="preserve">адрес A0 / данные D0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VCC</w:t>
            </w:r>
          </w:p>
        </w:tc>
        <w:tc>
          <w:tcPr/>
          <w:p>
            <w:pPr>
              <w:pStyle w:val="Compact"/>
            </w:pPr>
            <w:r>
              <w:t xml:space="preserve">питание +5 В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TableCaption"/>
      </w:pPr>
      <w:r>
        <w:t xml:space="preserve">Таблица 4 — Карта адресного пространства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55"/>
        <w:gridCol w:w="3182"/>
        <w:gridCol w:w="31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Диапазон адресов</w:t>
            </w:r>
          </w:p>
        </w:tc>
        <w:tc>
          <w:tcPr/>
          <w:p>
            <w:pPr>
              <w:pStyle w:val="Compact"/>
            </w:pPr>
            <w:r>
              <w:t xml:space="preserve">Область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0000h–2FFFh</w:t>
            </w:r>
          </w:p>
        </w:tc>
        <w:tc>
          <w:tcPr/>
          <w:p>
            <w:pPr>
              <w:pStyle w:val="Compact"/>
            </w:pPr>
            <w:r>
              <w:t xml:space="preserve">Память программ (внутренняя флэш, 12 Кбайт)</w:t>
            </w:r>
          </w:p>
        </w:tc>
        <w:tc>
          <w:tcPr/>
          <w:p>
            <w:pPr>
              <w:pStyle w:val="Compact"/>
            </w:pPr>
            <w:r>
              <w:t xml:space="preserve">программа управления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00h–7Fh</w:t>
            </w:r>
          </w:p>
        </w:tc>
        <w:tc>
          <w:tcPr/>
          <w:p>
            <w:pPr>
              <w:pStyle w:val="Compact"/>
            </w:pPr>
            <w:r>
              <w:t xml:space="preserve">Внутреннее ОЗУ, прямая и косвенная адресация</w:t>
            </w:r>
          </w:p>
        </w:tc>
        <w:tc>
          <w:tcPr/>
          <w:p>
            <w:pPr>
              <w:pStyle w:val="Compact"/>
            </w:pPr>
            <w:r>
              <w:t xml:space="preserve">банк регистров 0, стек с 08h, биты 20h–2Fh (флаги), переменные с 30h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80h–FFh</w:t>
            </w:r>
          </w:p>
        </w:tc>
        <w:tc>
          <w:tcPr/>
          <w:p>
            <w:pPr>
              <w:pStyle w:val="Compact"/>
            </w:pPr>
            <w:r>
              <w:t xml:space="preserve">Внутреннее ОЗУ (косвенная адресация) / SFR (прямая)</w:t>
            </w:r>
          </w:p>
        </w:tc>
        <w:tc>
          <w:tcPr/>
          <w:p>
            <w:pPr>
              <w:pStyle w:val="Compact"/>
            </w:pPr>
            <w:r>
              <w:t xml:space="preserve">регистры специальных функций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00h–1FFFh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Y0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2000h–3FFFh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Y1</w:t>
            </w:r>
          </w:p>
        </w:tc>
        <w:tc>
          <w:tcPr/>
          <w:p>
            <w:pPr>
              <w:pStyle w:val="Compact"/>
            </w:pPr>
            <w:r>
              <w:t xml:space="preserve">Буфер (IDT7005) (Y1)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4000h–5FFFh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Y2</w:t>
            </w:r>
          </w:p>
        </w:tc>
        <w:tc>
          <w:tcPr/>
          <w:p>
            <w:pPr>
              <w:pStyle w:val="Compact"/>
            </w:pPr>
            <w:r>
              <w:t xml:space="preserve">Индикатор (Y2)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6000h–7FFFh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Y3</w:t>
            </w:r>
          </w:p>
        </w:tc>
        <w:tc>
          <w:tcPr/>
          <w:p>
            <w:pPr>
              <w:pStyle w:val="Compact"/>
            </w:pPr>
            <w:r>
              <w:t xml:space="preserve">Регистр Y2 (Y3)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8000h–9FFFh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Y4</w:t>
            </w:r>
          </w:p>
        </w:tc>
        <w:tc>
          <w:tcPr/>
          <w:p>
            <w:pPr>
              <w:pStyle w:val="Compact"/>
            </w:pPr>
            <w:r>
              <w:t xml:space="preserve">Клавиатура (Y4)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0A000h–0BFFFh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Y5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0C000h–0DFFFh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Y6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0E000h–0FFFFh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Y7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</w:tbl>
    <w:bookmarkEnd w:id="23"/>
    <w:bookmarkStart w:id="30" w:name="разработка-панели-управления"/>
    <w:p>
      <w:pPr>
        <w:pStyle w:val="Heading2"/>
      </w:pPr>
      <w:r>
        <w:t xml:space="preserve">1.3 Разработка панели управления</w:t>
      </w:r>
    </w:p>
    <w:p>
      <w:pPr>
        <w:pStyle w:val="FirstParagraph"/>
      </w:pPr>
      <w:r>
        <w:t xml:space="preserve">Клавиатура (рисунок 5) — матрица 3×4 из 12 кнопок. Столбцы Col1…Col3 задаются 4-разрядным регистром DD2 (74HC173), который записывается по адресу клавиатуры; сброс регистра подключён к RST, поэтому после включения все столбцы в нуле. Строки Row1…Row4 через повторитель DD8 (74AC244) читаются на шину данных; элемент «И» DD7 объединяет строки и формирует сигнал прерывания INT0 при нажатии любой клавиши. Диоды КД521А в цепях столбцов исключают замыкание выходов регистра при одновременном нажатии нескольких клавиш.</w:t>
      </w:r>
    </w:p>
    <w:p>
      <w:pPr>
        <w:pStyle w:val="Figure"/>
      </w:pPr>
      <w:r>
        <w:drawing>
          <wp:inline>
            <wp:extent cx="5939999" cy="337093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sch-kb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33709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5 — Схема подключения клавиатуры</w:t>
      </w:r>
    </w:p>
    <w:p>
      <w:pPr>
        <w:pStyle w:val="BodyText"/>
      </w:pPr>
      <w:r>
        <w:t xml:space="preserve">Каждая строка подтянута к питанию резистором R1 = 2 кОм (R2–R5) и соединена со входом через резистор R2 = 10 кОм (R6–R9); конденсатор C (C16–C19) вместе с R2 образует фильтр, подавляющий дребезг контактов. По методическим указаниям постоянная фильтра должна перекрывать время дребезга: 3·R2·C ≥ T</w:t>
      </w:r>
      <w:r>
        <w:rPr>
          <w:vertAlign w:val="subscript"/>
        </w:rPr>
        <w:t xml:space="preserve">др</w:t>
      </w:r>
      <w:r>
        <w:t xml:space="preserve">, где T</w:t>
      </w:r>
      <w:r>
        <w:rPr>
          <w:vertAlign w:val="subscript"/>
        </w:rPr>
        <w:t xml:space="preserve">др</w:t>
      </w:r>
      <w:r>
        <w:t xml:space="preserve"> </w:t>
      </w:r>
      <w:r>
        <w:t xml:space="preserve">= 5 мс (ТЗ). Отсюда:</w:t>
      </w:r>
    </w:p>
    <w:p>
      <w:pPr>
        <w:pStyle w:val="Center"/>
      </w:pPr>
      <w:r>
        <w:t xml:space="preserve">C ≥ T_др / (3 · R2) = 5·10⁻³ с / (3 · 10·10³ Ом) = 166,7 нФ</w:t>
      </w:r>
    </w:p>
    <w:p>
      <w:pPr>
        <w:pStyle w:val="BodyText"/>
      </w:pPr>
      <w:r>
        <w:t xml:space="preserve">Выбран конденсатор К10-17Б 220 нФ ±10 % (C16–C19) — ближайший больший номинал. Ток через нажатую кнопку:</w:t>
      </w:r>
    </w:p>
    <w:p>
      <w:pPr>
        <w:pStyle w:val="Center"/>
      </w:pPr>
      <w:r>
        <w:t xml:space="preserve">I = Vcc / R1 + Vcc / R2 = 5 В / 2 кОм + 5 В / 10 кОм = 2,5 мА + 0,5 мА = 3 мА</w:t>
      </w:r>
    </w:p>
    <w:p>
      <w:pPr>
        <w:pStyle w:val="BodyText"/>
      </w:pPr>
      <w:r>
        <w:t xml:space="preserve">Мощность, рассеиваемая резистором R1 при удержании кнопки: P = Vcc² / R1 = (5 В)² / 2 кОм = 12,5 мВт — достаточно резисторов МЛТ-0,125. Коды клавиш (табл. 3 ТЗ) и их положение в матрице приведены в таблице 5.</w:t>
      </w:r>
    </w:p>
    <w:p>
      <w:pPr>
        <w:pStyle w:val="TableCaption"/>
      </w:pPr>
      <w:r>
        <w:t xml:space="preserve">Таблица 5 — Коды клавиш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Клавиша</w:t>
            </w:r>
          </w:p>
        </w:tc>
        <w:tc>
          <w:tcPr/>
          <w:p>
            <w:pPr>
              <w:pStyle w:val="Compact"/>
            </w:pPr>
            <w:r>
              <w:t xml:space="preserve">Столбец</w:t>
            </w:r>
          </w:p>
        </w:tc>
        <w:tc>
          <w:tcPr/>
          <w:p>
            <w:pPr>
              <w:pStyle w:val="Compact"/>
            </w:pPr>
            <w:r>
              <w:t xml:space="preserve">Строка</w:t>
            </w:r>
          </w:p>
        </w:tc>
        <w:tc>
          <w:tcPr/>
          <w:p>
            <w:pPr>
              <w:pStyle w:val="Compact"/>
            </w:pPr>
            <w:r>
              <w:t xml:space="preserve">Код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«0»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«1»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«2»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«3»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«4»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«5»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«6»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«7»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«8»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«9»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«Т»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Row4</w:t>
            </w:r>
          </w:p>
        </w:tc>
        <w:tc>
          <w:tcPr/>
          <w:p>
            <w:pPr>
              <w:pStyle w:val="Compact"/>
            </w:pPr>
            <w:r>
              <w:t xml:space="preserve">10 («Тест»)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«С»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Row4</w:t>
            </w:r>
          </w:p>
        </w:tc>
        <w:tc>
          <w:tcPr/>
          <w:p>
            <w:pPr>
              <w:pStyle w:val="Compact"/>
            </w:pPr>
            <w:r>
              <w:t xml:space="preserve">11 («Сброс»)</w:t>
            </w:r>
          </w:p>
        </w:tc>
      </w:tr>
    </w:tbl>
    <w:p>
      <w:pPr>
        <w:pStyle w:val="BodyText"/>
      </w:pPr>
      <w:r>
        <w:t xml:space="preserve">Индикатор (рисунок 6) — семисегментный FYS-5612AX с общим катодом — сегмент горит при высоком уровне. Код символа записывается в регистр DD11 (74AC573), который защёлкивает его по окончании записи (Load = ИЛИ-НЕ(CS, WR), элемент DD5); выходы регистра через токоограничивающие резисторы управляют сегментами (статическая индикация: МК не тратит время на обновление).</w:t>
      </w:r>
    </w:p>
    <w:p>
      <w:pPr>
        <w:pStyle w:val="Figure"/>
      </w:pPr>
      <w:r>
        <w:drawing>
          <wp:inline>
            <wp:extent cx="4715999" cy="2347923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sch-ind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5999" cy="2347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6 — Схема подключения индикатора</w:t>
      </w:r>
    </w:p>
    <w:p>
      <w:pPr>
        <w:pStyle w:val="BodyText"/>
      </w:pPr>
      <w:r>
        <w:t xml:space="preserve">Сопротивление резистора сегмента (второй закон Кирхгофа, методические указания):</w:t>
      </w:r>
    </w:p>
    <w:p>
      <w:pPr>
        <w:pStyle w:val="Center"/>
      </w:pPr>
      <w:r>
        <w:t xml:space="preserve">R = (Vcc − U_VD − U_OL) / I_VD ≥ (5,25 В − 2,0 В − 0 В) / 10 мА = 325 Ом</w:t>
      </w:r>
    </w:p>
    <w:p>
      <w:pPr>
        <w:pStyle w:val="BodyText"/>
      </w:pPr>
      <w:r>
        <w:t xml:space="preserve">где Vcc = 5,25 В — напряжение питания с допуском +5 %; U</w:t>
      </w:r>
      <w:r>
        <w:rPr>
          <w:vertAlign w:val="subscript"/>
        </w:rPr>
        <w:t xml:space="preserve">VD</w:t>
      </w:r>
      <w:r>
        <w:t xml:space="preserve"> </w:t>
      </w:r>
      <w:r>
        <w:t xml:space="preserve">= 2,0 В — прямое напряжение сегмента FYS-5612 [3]; U</w:t>
      </w:r>
      <w:r>
        <w:rPr>
          <w:vertAlign w:val="subscript"/>
        </w:rPr>
        <w:t xml:space="preserve">OL</w:t>
      </w:r>
      <w:r>
        <w:t xml:space="preserve"> </w:t>
      </w:r>
      <w:r>
        <w:t xml:space="preserve">= 0 — падение на выходе регистра в худшем случае; I</w:t>
      </w:r>
      <w:r>
        <w:rPr>
          <w:vertAlign w:val="subscript"/>
        </w:rPr>
        <w:t xml:space="preserve">VD</w:t>
      </w:r>
      <w:r>
        <w:t xml:space="preserve"> </w:t>
      </w:r>
      <w:r>
        <w:t xml:space="preserve">= 10 мА — ток сегмента, не превышающий нагрузочной способности линии (ТЗ: не более 10 мА). Выбран ближайший больший номинал ряда E24 — 330 Ом (R10–R17, МЛТ-0,125 330 Ом ±5 %). Мощность резистора P = I² · R = (10 мА)² · 330 Ом = 33 мВт.</w:t>
      </w:r>
    </w:p>
    <w:p>
      <w:pPr>
        <w:pStyle w:val="BodyText"/>
      </w:pPr>
      <w:r>
        <w:t xml:space="preserve">Коды символов (табл. 2 ТЗ) приведены в таблице 6.</w:t>
      </w:r>
    </w:p>
    <w:p>
      <w:pPr>
        <w:pStyle w:val="TableCaption"/>
      </w:pPr>
      <w:r>
        <w:t xml:space="preserve">Таблица 6 — Коды символов индикатора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Символ</w:t>
            </w:r>
          </w:p>
        </w:tc>
        <w:tc>
          <w:tcPr/>
          <w:p>
            <w:pPr>
              <w:pStyle w:val="Compact"/>
            </w:pPr>
            <w:r>
              <w:t xml:space="preserve">Код</w:t>
            </w:r>
          </w:p>
        </w:tc>
        <w:tc>
          <w:tcPr/>
          <w:p>
            <w:pPr>
              <w:pStyle w:val="Compact"/>
            </w:pPr>
            <w:r>
              <w:t xml:space="preserve">dp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3Fh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06h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5Bh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4Fh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66h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6Dh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7Dh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07h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7Fh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6Fh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79h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выкл</w:t>
            </w:r>
          </w:p>
        </w:tc>
        <w:tc>
          <w:tcPr/>
          <w:p>
            <w:pPr>
              <w:pStyle w:val="Compact"/>
            </w:pPr>
            <w:r>
              <w:t xml:space="preserve">00h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bookmarkEnd w:id="30"/>
    <w:bookmarkStart w:id="40" w:name="разработка-двухпортового-буфера"/>
    <w:p>
      <w:pPr>
        <w:pStyle w:val="Heading2"/>
      </w:pPr>
      <w:r>
        <w:t xml:space="preserve">1.4 Разработка двухпортового буфера</w:t>
      </w:r>
    </w:p>
    <w:p>
      <w:pPr>
        <w:pStyle w:val="FirstParagraph"/>
      </w:pPr>
      <w:r>
        <w:t xml:space="preserve">Кольцевой буфер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организован во внешнем двухпортовом статическом ОЗУ IDT7005 (DD10, 8 Кбайт × 8, рисунок 7). Объём буфера по варианту V = 1210 байт; для адресации нужно 11 разрядов (2</w:t>
      </w:r>
      <w:r>
        <w:rPr>
          <w:vertAlign w:val="superscript"/>
        </w:rPr>
        <w:t xml:space="preserve">11</w:t>
      </w:r>
      <w:r>
        <w:t xml:space="preserve"> </w:t>
      </w:r>
      <w:r>
        <w:t xml:space="preserve">= 2048 ≥ 1210), в схеме подключены все 13 адресных входов A0–A12, буфер занимает ячейки 2000h–24B9h окна Y1. Микросхема работает в режиме ведомой (M/S = 0), сигналы BUSY не используются.</w:t>
      </w:r>
    </w:p>
    <w:p>
      <w:pPr>
        <w:pStyle w:val="BodyText"/>
      </w:pPr>
      <w:r>
        <w:t xml:space="preserve">Подключение выполнено по методическим указаниям (приложение А). Оба порта выбираются одним сигналом CS_buf — выходом Y1 дешифратора, и на оба порта с шины МК подаётся один и тот же адрес A0–A12, поэтому МК обращается к одной и той же ячейке с двух сторон. Левый порт работает только на чтение (R/W = 1): его данные D0–D7 подключены к шине P0, выходы открывает RD (OE). Правый порт работает только на запись (OE = 1): данные I/O0R–I/O7R подключены к разъёму внешнего устройства, запись выполняет сигнал WR МК (R/W правого порта). Внешнее устройство выставляет отсчёт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на разъём и сообщает о нём стробом X2, который поступает на вход прерывания INT1. Обработчик прерывания выставляет адрес «головы» и выполняет movx</w:t>
      </w:r>
      <w:r>
        <w:t xml:space="preserve"> </w:t>
      </w:r>
      <w:r>
        <w:t xml:space="preserve">@DPTR</w:t>
      </w:r>
      <w:r>
        <w:t xml:space="preserve">, A: в цикле записи МК в ячейку попадает байт с разъёма, а не содержимое аккумулятора, после чего МК сдвигает указатель «голова» и обновляет флаги. Чтение кольца (movx A,</w:t>
      </w:r>
      <w:r>
        <w:t xml:space="preserve"> </w:t>
      </w:r>
      <w:r>
        <w:t xml:space="preserve">@DPTR</w:t>
      </w:r>
      <w:r>
        <w:t xml:space="preserve">) идёт через левый порт. Указатели и флаги буфера целиком ведёт МК, внешнему устройству адрес знать не нужно.</w:t>
      </w:r>
    </w:p>
    <w:p>
      <w:pPr>
        <w:pStyle w:val="Figure"/>
      </w:pPr>
      <w:r>
        <w:drawing>
          <wp:inline>
            <wp:extent cx="3347999" cy="4152324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sch-idt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999" cy="4152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7 — Подключение кольцевого буфера</w:t>
      </w:r>
    </w:p>
    <w:p>
      <w:pPr>
        <w:pStyle w:val="BodyText"/>
      </w:pPr>
      <w:r>
        <w:t xml:space="preserve">Оба порта IDT7005 подключены к одной адресной шине МК (A0–A12) и к одному сигналу выбора буфера с дешифратора, поэтому адрес ячейки всегда задаёт микроконтроллер. Внешнее устройство только выставляет очередной отсчёт X2 на данные правого порта и подаёт строб, который по спаду вызывает прерывание INT1. В обработчике МК кладёт в DPTR адрес «головы» и выполняет movx</w:t>
      </w:r>
      <w:r>
        <w:t xml:space="preserve"> </w:t>
      </w:r>
      <w:r>
        <w:t xml:space="preserve">@DPTR</w:t>
      </w:r>
      <w:r>
        <w:t xml:space="preserve">,A: сигнал WR идёт на R/W правого порта, и в ячейку записывается байт с разъёма, а не содержимое аккумулятора; затем программа сдвигает «голову» на следующую ячейку с заворотом после 24B9h. Левый порт МК использует только для чтения: по адресу «хвоста» команда movx A,</w:t>
      </w:r>
      <w:r>
        <w:t xml:space="preserve">@DPTR</w:t>
      </w:r>
      <w:r>
        <w:t xml:space="preserve"> </w:t>
      </w:r>
      <w:r>
        <w:t xml:space="preserve">выдаёт RD на OE левого порта, после чего «хвост» тоже сдвигается. Таким образом «голову» двигает обработчик INT1, «хвост» — процедура чтения в основной программе, а флаги пустоты и переполнения показывают, догнал ли один указатель другой.</w:t>
      </w:r>
    </w:p>
    <w:p>
      <w:pPr>
        <w:pStyle w:val="BodyText"/>
      </w:pPr>
      <w:r>
        <w:t xml:space="preserve">Временные диаграммы обмена МК с буфером (чтение и запись командами movx) приведены на рисунках 8 и 9; параметры — по документации AT89S53 для кварца 12 МГц [1] (таблица 7).</w:t>
      </w:r>
    </w:p>
    <w:p>
      <w:pPr>
        <w:pStyle w:val="Figure"/>
      </w:pPr>
      <w:r>
        <w:drawing>
          <wp:inline>
            <wp:extent cx="5759999" cy="2932363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tread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932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8 — Временная диаграмма чтения из буфера (movx A,</w:t>
      </w:r>
      <w:r>
        <w:t xml:space="preserve"> </w:t>
      </w:r>
      <w:r>
        <w:t xml:space="preserve">@DPTR</w:t>
      </w:r>
      <w:r>
        <w:t xml:space="preserve">)</w:t>
      </w:r>
    </w:p>
    <w:p>
      <w:pPr>
        <w:pStyle w:val="Figure"/>
      </w:pPr>
      <w:r>
        <w:drawing>
          <wp:inline>
            <wp:extent cx="5759999" cy="2932363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twrite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932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9 — Временная диаграмма записи в буфер (movx</w:t>
      </w:r>
      <w:r>
        <w:t xml:space="preserve"> </w:t>
      </w:r>
      <w:r>
        <w:t xml:space="preserve">@DPTR</w:t>
      </w:r>
      <w:r>
        <w:t xml:space="preserve">, A)</w:t>
      </w:r>
    </w:p>
    <w:p>
      <w:pPr>
        <w:pStyle w:val="TableCaption"/>
      </w:pPr>
      <w:r>
        <w:t xml:space="preserve">Таблица 7 — Временные параметры шины AT89S53 при 12 МГц [1]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Обозначение</w:t>
            </w:r>
          </w:p>
        </w:tc>
        <w:tc>
          <w:tcPr/>
          <w:p>
            <w:pPr>
              <w:pStyle w:val="Compact"/>
            </w:pPr>
            <w:r>
              <w:t xml:space="preserve">Значение, нс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Адрес действителен до спада ALE</w:t>
            </w:r>
          </w:p>
        </w:tc>
        <w:tc>
          <w:tcPr/>
          <w:p>
            <w:pPr>
              <w:pStyle w:val="Compact"/>
            </w:pPr>
            <w:r>
              <w:t xml:space="preserve">tAVLL</w:t>
            </w:r>
          </w:p>
        </w:tc>
        <w:tc>
          <w:tcPr/>
          <w:p>
            <w:pPr>
              <w:pStyle w:val="Compact"/>
            </w:pPr>
            <w:r>
              <w:t xml:space="preserve">≥ 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адреса после спада ALE</w:t>
            </w:r>
          </w:p>
        </w:tc>
        <w:tc>
          <w:tcPr/>
          <w:p>
            <w:pPr>
              <w:pStyle w:val="Compact"/>
            </w:pPr>
            <w:r>
              <w:t xml:space="preserve">tLLAX</w:t>
            </w:r>
          </w:p>
        </w:tc>
        <w:tc>
          <w:tcPr/>
          <w:p>
            <w:pPr>
              <w:pStyle w:val="Compact"/>
            </w:pPr>
            <w:r>
              <w:t xml:space="preserve">≥ 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Спад ALE — спад RD/WR</w:t>
            </w:r>
          </w:p>
        </w:tc>
        <w:tc>
          <w:tcPr/>
          <w:p>
            <w:pPr>
              <w:pStyle w:val="Compact"/>
            </w:pPr>
            <w:r>
              <w:t xml:space="preserve">tLLWL</w:t>
            </w:r>
          </w:p>
        </w:tc>
        <w:tc>
          <w:tcPr/>
          <w:p>
            <w:pPr>
              <w:pStyle w:val="Compact"/>
            </w:pPr>
            <w:r>
              <w:t xml:space="preserve">200…300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Длительность импульса RD</w:t>
            </w:r>
          </w:p>
        </w:tc>
        <w:tc>
          <w:tcPr/>
          <w:p>
            <w:pPr>
              <w:pStyle w:val="Compact"/>
            </w:pPr>
            <w:r>
              <w:t xml:space="preserve">tRLRH</w:t>
            </w:r>
          </w:p>
        </w:tc>
        <w:tc>
          <w:tcPr/>
          <w:p>
            <w:pPr>
              <w:pStyle w:val="Compact"/>
            </w:pPr>
            <w:r>
              <w:t xml:space="preserve">≥ 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Спад RD — данные действительны</w:t>
            </w:r>
          </w:p>
        </w:tc>
        <w:tc>
          <w:tcPr/>
          <w:p>
            <w:pPr>
              <w:pStyle w:val="Compact"/>
            </w:pPr>
            <w:r>
              <w:t xml:space="preserve">tRLDV</w:t>
            </w:r>
          </w:p>
        </w:tc>
        <w:tc>
          <w:tcPr/>
          <w:p>
            <w:pPr>
              <w:pStyle w:val="Compact"/>
            </w:pPr>
            <w:r>
              <w:t xml:space="preserve">≤ 252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данных после RD</w:t>
            </w:r>
          </w:p>
        </w:tc>
        <w:tc>
          <w:tcPr/>
          <w:p>
            <w:pPr>
              <w:pStyle w:val="Compact"/>
            </w:pPr>
            <w:r>
              <w:t xml:space="preserve">tRHDX</w:t>
            </w:r>
          </w:p>
        </w:tc>
        <w:tc>
          <w:tcPr/>
          <w:p>
            <w:pPr>
              <w:pStyle w:val="Compact"/>
            </w:pPr>
            <w:r>
              <w:t xml:space="preserve">≥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Длительность импульса WR</w:t>
            </w:r>
          </w:p>
        </w:tc>
        <w:tc>
          <w:tcPr/>
          <w:p>
            <w:pPr>
              <w:pStyle w:val="Compact"/>
            </w:pPr>
            <w:r>
              <w:t xml:space="preserve">tWLWH</w:t>
            </w:r>
          </w:p>
        </w:tc>
        <w:tc>
          <w:tcPr/>
          <w:p>
            <w:pPr>
              <w:pStyle w:val="Compact"/>
            </w:pPr>
            <w:r>
              <w:t xml:space="preserve">≥ 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Данные действительны до фронта WR</w:t>
            </w:r>
          </w:p>
        </w:tc>
        <w:tc>
          <w:tcPr/>
          <w:p>
            <w:pPr>
              <w:pStyle w:val="Compact"/>
            </w:pPr>
            <w:r>
              <w:t xml:space="preserve">tQVWH</w:t>
            </w:r>
          </w:p>
        </w:tc>
        <w:tc>
          <w:tcPr/>
          <w:p>
            <w:pPr>
              <w:pStyle w:val="Compact"/>
            </w:pPr>
            <w:r>
              <w:t xml:space="preserve">≥ 433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данных после WR</w:t>
            </w:r>
          </w:p>
        </w:tc>
        <w:tc>
          <w:tcPr/>
          <w:p>
            <w:pPr>
              <w:pStyle w:val="Compact"/>
            </w:pPr>
            <w:r>
              <w:t xml:space="preserve">tWHQX</w:t>
            </w:r>
          </w:p>
        </w:tc>
        <w:tc>
          <w:tcPr/>
          <w:p>
            <w:pPr>
              <w:pStyle w:val="Compact"/>
            </w:pPr>
            <w:r>
              <w:t xml:space="preserve">≥ 33</w:t>
            </w:r>
          </w:p>
        </w:tc>
      </w:tr>
    </w:tbl>
    <w:p>
      <w:pPr>
        <w:pStyle w:val="BodyText"/>
      </w:pPr>
      <w:r>
        <w:t xml:space="preserve">Требования ОЗУ IDT7005S55 к сигналам шины [2] сопоставлены с тем, что обеспечивает МК при 12 МГц (таблица 8). Время, которое МК даёт ОЗУ, получено из параметров таблицы 7: адрес выставляется не позже чем за tAVLL + tLLWL = 43 + 200 = 243 нс до спада RD/WR, данные при чтении МК принимает через tRLDV = 252 нс после спада RD.</w:t>
      </w:r>
    </w:p>
    <w:p>
      <w:pPr>
        <w:pStyle w:val="TableCaption"/>
      </w:pPr>
      <w:r>
        <w:t xml:space="preserve">Таблица 8 — Сравнение времён шины МК и IDT7005S55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Требование ОЗУ [2]</w:t>
            </w:r>
          </w:p>
        </w:tc>
        <w:tc>
          <w:tcPr/>
          <w:p>
            <w:pPr>
              <w:pStyle w:val="Compact"/>
            </w:pPr>
            <w:r>
              <w:t xml:space="preserve">Обеспечивает МК</w:t>
            </w:r>
          </w:p>
        </w:tc>
        <w:tc>
          <w:tcPr/>
          <w:p>
            <w:pPr>
              <w:pStyle w:val="Compact"/>
            </w:pPr>
            <w:r>
              <w:t xml:space="preserve">Запас, нс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Чтение: выдача данных после OE</w:t>
            </w:r>
          </w:p>
        </w:tc>
        <w:tc>
          <w:tcPr/>
          <w:p>
            <w:pPr>
              <w:pStyle w:val="Compact"/>
            </w:pPr>
            <w:r>
              <w:t xml:space="preserve">tAOE ≤ 30 нс</w:t>
            </w:r>
          </w:p>
        </w:tc>
        <w:tc>
          <w:tcPr/>
          <w:p>
            <w:pPr>
              <w:pStyle w:val="Compact"/>
            </w:pPr>
            <w:r>
              <w:t xml:space="preserve">tRLDV = 252 нс</w:t>
            </w:r>
          </w:p>
        </w:tc>
        <w:tc>
          <w:tcPr/>
          <w:p>
            <w:pPr>
              <w:pStyle w:val="Compact"/>
            </w:pPr>
            <w:r>
              <w:t xml:space="preserve">222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Чтение: выдача данных после адреса</w:t>
            </w:r>
          </w:p>
        </w:tc>
        <w:tc>
          <w:tcPr/>
          <w:p>
            <w:pPr>
              <w:pStyle w:val="Compact"/>
            </w:pPr>
            <w:r>
              <w:t xml:space="preserve">tAA ≤ 55 нс</w:t>
            </w:r>
          </w:p>
        </w:tc>
        <w:tc>
          <w:tcPr/>
          <w:p>
            <w:pPr>
              <w:pStyle w:val="Compact"/>
            </w:pPr>
            <w:r>
              <w:t xml:space="preserve">243 + 252 = 495 нс</w:t>
            </w:r>
          </w:p>
        </w:tc>
        <w:tc>
          <w:tcPr/>
          <w:p>
            <w:pPr>
              <w:pStyle w:val="Compact"/>
            </w:pPr>
            <w:r>
              <w:t xml:space="preserve">440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длительность импульса</w:t>
            </w:r>
          </w:p>
        </w:tc>
        <w:tc>
          <w:tcPr/>
          <w:p>
            <w:pPr>
              <w:pStyle w:val="Compact"/>
            </w:pPr>
            <w:r>
              <w:t xml:space="preserve">tWP ≥ 40 нс</w:t>
            </w:r>
          </w:p>
        </w:tc>
        <w:tc>
          <w:tcPr/>
          <w:p>
            <w:pPr>
              <w:pStyle w:val="Compact"/>
            </w:pPr>
            <w:r>
              <w:t xml:space="preserve">tWLWH ≥ 400 нс</w:t>
            </w:r>
          </w:p>
        </w:tc>
        <w:tc>
          <w:tcPr/>
          <w:p>
            <w:pPr>
              <w:pStyle w:val="Compact"/>
            </w:pPr>
            <w:r>
              <w:t xml:space="preserve">360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данные до конца записи</w:t>
            </w:r>
          </w:p>
        </w:tc>
        <w:tc>
          <w:tcPr/>
          <w:p>
            <w:pPr>
              <w:pStyle w:val="Compact"/>
            </w:pPr>
            <w:r>
              <w:t xml:space="preserve">tDW ≥ 30 нс</w:t>
            </w:r>
          </w:p>
        </w:tc>
        <w:tc>
          <w:tcPr/>
          <w:p>
            <w:pPr>
              <w:pStyle w:val="Compact"/>
            </w:pPr>
            <w:r>
              <w:t xml:space="preserve">X2 на разъёме весь цикл WR (≥ 400 нс)</w:t>
            </w:r>
          </w:p>
        </w:tc>
        <w:tc>
          <w:tcPr/>
          <w:p>
            <w:pPr>
              <w:pStyle w:val="Compact"/>
            </w:pPr>
            <w:r>
              <w:t xml:space="preserve">≥ 370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удержание данных</w:t>
            </w:r>
          </w:p>
        </w:tc>
        <w:tc>
          <w:tcPr/>
          <w:p>
            <w:pPr>
              <w:pStyle w:val="Compact"/>
            </w:pPr>
            <w:r>
              <w:t xml:space="preserve">tDH ≥ 0</w:t>
            </w:r>
          </w:p>
        </w:tc>
        <w:tc>
          <w:tcPr/>
          <w:p>
            <w:pPr>
              <w:pStyle w:val="Compact"/>
            </w:pPr>
            <w:r>
              <w:t xml:space="preserve">X2 до след. отсчёта (≥ 250 мс)</w:t>
            </w:r>
          </w:p>
        </w:tc>
        <w:tc>
          <w:tcPr/>
          <w:p>
            <w:pPr>
              <w:pStyle w:val="Compact"/>
            </w:pPr>
            <w:r>
              <w:t xml:space="preserve">≥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адрес до начала записи</w:t>
            </w:r>
          </w:p>
        </w:tc>
        <w:tc>
          <w:tcPr/>
          <w:p>
            <w:pPr>
              <w:pStyle w:val="Compact"/>
            </w:pPr>
            <w:r>
              <w:t xml:space="preserve">tAS ≥ 0</w:t>
            </w:r>
          </w:p>
        </w:tc>
        <w:tc>
          <w:tcPr/>
          <w:p>
            <w:pPr>
              <w:pStyle w:val="Compact"/>
            </w:pPr>
            <w:r>
              <w:t xml:space="preserve">tAVLL + tLLWL ≥ 243 нс</w:t>
            </w:r>
          </w:p>
        </w:tc>
        <w:tc>
          <w:tcPr/>
          <w:p>
            <w:pPr>
              <w:pStyle w:val="Compact"/>
            </w:pPr>
            <w:r>
              <w:t xml:space="preserve">243</w:t>
            </w:r>
          </w:p>
        </w:tc>
      </w:tr>
    </w:tbl>
    <w:p>
      <w:pPr>
        <w:pStyle w:val="BodyText"/>
      </w:pPr>
      <w:r>
        <w:t xml:space="preserve">Все требования ОЗУ выполняются с запасом в несколько раз: память отвечает за 30–55 нс, а МК отводит на обмен сотни наносекунд. Такты ожидания не требуются (у МК семейства MCS-51 их и нет), буфер IDT7005 подключается к шине МК напрямую.</w:t>
      </w:r>
    </w:p>
    <w:bookmarkEnd w:id="40"/>
    <w:bookmarkStart w:id="44" w:name="Xbe4e45f6fef73311d865db210a104418b844c3a"/>
    <w:p>
      <w:pPr>
        <w:pStyle w:val="Heading2"/>
      </w:pPr>
      <w:r>
        <w:t xml:space="preserve">1.5 Разработка интерфейсных устройств ввода-вывода</w:t>
      </w:r>
    </w:p>
    <w:p>
      <w:pPr>
        <w:pStyle w:val="FirstParagraph"/>
      </w:pPr>
      <w:r>
        <w:t xml:space="preserve">Сигнал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вводится с клавиатуры (подраздел 1.3), сигнал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через второй порт буфера (подраздел 1.4).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программно формируемый строб низкого уровня длительностью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1</w:t>
      </w:r>
      <w:r>
        <w:t xml:space="preserve"> </w:t>
      </w:r>
      <w:r>
        <w:t xml:space="preserve">= 176 мс на выводе P1.1 (отсчёт — таймер 0).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= (6 + 1 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 mod 256 при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≠ 0 (иначе 0) записывается в 8-разрядный регистр DD6 (74AC573, рисунок 10), выбираемый выходом Y3 дешифратора; регистр защёлкивает данные по окончании записи (Load = ИЛИ-НЕ(CS, WR), элемент DD5) и держит предыдущее значение до новой записи. Каждая запись сопровождается стробом низкого уровня длительностью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2</w:t>
      </w:r>
      <w:r>
        <w:t xml:space="preserve"> </w:t>
      </w:r>
      <w:r>
        <w:t xml:space="preserve">= 1536 мкс на выводе P1.2 (таймер 1).</w:t>
      </w:r>
    </w:p>
    <w:p>
      <w:pPr>
        <w:pStyle w:val="Figure"/>
      </w:pPr>
      <w:r>
        <w:drawing>
          <wp:inline>
            <wp:extent cx="5939999" cy="2425714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sch-y2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2425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10 — Выходной регистр Y2 и разъёмы</w:t>
      </w:r>
    </w:p>
    <w:p>
      <w:pPr>
        <w:pStyle w:val="BodyText"/>
      </w:pPr>
      <w:r>
        <w:t xml:space="preserve">Все выходы МК нагружены только входами микросхем КМОП (единицы микроампер), поэтому ограничение ТЗ на нагрузку линии порта (не более 10 мА) выполняется с большим запасом.</w:t>
      </w:r>
    </w:p>
    <w:bookmarkEnd w:id="44"/>
    <w:bookmarkStart w:id="48" w:name="повышение-помехоустойчивости-мпс"/>
    <w:p>
      <w:pPr>
        <w:pStyle w:val="Heading2"/>
      </w:pPr>
      <w:r>
        <w:t xml:space="preserve">1.6 Повышение помехоустойчивости МПС</w:t>
      </w:r>
    </w:p>
    <w:p>
      <w:pPr>
        <w:pStyle w:val="FirstParagraph"/>
      </w:pPr>
      <w:r>
        <w:t xml:space="preserve">По ТЗ (п. 2.1, пункт 10) у выводов питания каждого корпуса микросхем установлен керамический конденсатор 33 нФ (C5–C15, К10-17Б 33 нФ ±10 %), на входе цепи питания — электролитический конденсатор 470 мкФ (C4, К50-35 16 В 470 мкФ), рисунок 11. Керамические конденсаторы подавляют высокочастотные импульсные помехи при переключении КМОП-микросхем, электролитический — низкочастотные пульсации источника.</w:t>
      </w:r>
    </w:p>
    <w:p>
      <w:pPr>
        <w:pStyle w:val="Figure"/>
      </w:pPr>
      <w:r>
        <w:drawing>
          <wp:inline>
            <wp:extent cx="5939999" cy="981652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sch-power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981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11 — Цепь питания и фильтрующие конденсаторы</w:t>
      </w:r>
    </w:p>
    <w:bookmarkEnd w:id="48"/>
    <w:bookmarkEnd w:id="49"/>
    <w:bookmarkStart w:id="50" w:name="список-литературы"/>
    <w:p>
      <w:pPr>
        <w:pStyle w:val="Heading1"/>
      </w:pPr>
      <w:r>
        <w:br w:type="page"/>
      </w: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r>
        <w:t xml:space="preserve">AT89S53. 8-bit Microcontroller with 12K Bytes Flash : datasheet. — Текст : электронный // Microchip Technology (Atmel) : [сайт]. — URL: https://www.microchip.com (дата обращения: 07.10.26).</w:t>
      </w:r>
    </w:p>
    <w:p>
      <w:pPr>
        <w:pStyle w:val="Compact"/>
        <w:numPr>
          <w:ilvl w:val="0"/>
          <w:numId w:val="1002"/>
        </w:numPr>
      </w:pPr>
      <w:r>
        <w:t xml:space="preserve">IDT7005S/L. High-Speed 8K x 8 Dual-Port Static RAM : datasheet. — Текст : электронный // Renesas Electronics (IDT) : [сайт]. — URL: https://www.renesas.com (дата обращения: 07.10.26).</w:t>
      </w:r>
    </w:p>
    <w:p>
      <w:pPr>
        <w:pStyle w:val="Compact"/>
        <w:numPr>
          <w:ilvl w:val="0"/>
          <w:numId w:val="1002"/>
        </w:numPr>
      </w:pPr>
      <w:r>
        <w:t xml:space="preserve">FYS-5612AX / FYS-5612BX. 0.56” Single Digit Numeric Display : datasheet. — Текст : электронный // Foryard Optoelectronics : [сайт]. — URL: https://www.foryard.com (дата обращения: 07.10.26).</w:t>
      </w:r>
    </w:p>
    <w:p>
      <w:pPr>
        <w:pStyle w:val="Compact"/>
        <w:numPr>
          <w:ilvl w:val="0"/>
          <w:numId w:val="1002"/>
        </w:numPr>
      </w:pPr>
      <w:r>
        <w:t xml:space="preserve">SN74HC138. 3-Line to 8-Line Decoders/Demultiplexers : datasheet. — Текст : электронный // Texas Instruments : [сайт]. — URL: https://www.ti.com (дата обращения: 07.10.26).</w:t>
      </w:r>
    </w:p>
    <w:p>
      <w:pPr>
        <w:pStyle w:val="Compact"/>
        <w:numPr>
          <w:ilvl w:val="0"/>
          <w:numId w:val="1002"/>
        </w:numPr>
      </w:pPr>
      <w:r>
        <w:t xml:space="preserve">74AC573. Octal D-Type Latch with 3-STATE Outputs : datasheet. — Текст : электронный // onsemi : [сайт]. — URL: https://www.onsemi.com (дата обращения: 07.10.26).</w:t>
      </w:r>
    </w:p>
    <w:p>
      <w:pPr>
        <w:pStyle w:val="Compact"/>
        <w:numPr>
          <w:ilvl w:val="0"/>
          <w:numId w:val="1002"/>
        </w:numPr>
      </w:pPr>
      <w:r>
        <w:t xml:space="preserve">74HC173. Quad D-type flip-flop; positive-edge trigger; 3-state : datasheet. — Текст : электронный // Nexperia : [сайт]. — URL: https://www.nexperia.com (дата обращения: 07.10.26).</w:t>
      </w:r>
    </w:p>
    <w:p>
      <w:pPr>
        <w:pStyle w:val="Compact"/>
        <w:numPr>
          <w:ilvl w:val="0"/>
          <w:numId w:val="1002"/>
        </w:numPr>
      </w:pPr>
      <w:r>
        <w:t xml:space="preserve">IN74AC244. Octal 3-State Noninverting Buffer/Line Driver : datasheet. — Текст : электронный // ОАО «Интеграл» : [сайт]. — URL: https://www.integral.by (дата обращения: 07.10.26).</w:t>
      </w:r>
    </w:p>
    <w:p>
      <w:pPr>
        <w:pStyle w:val="Compact"/>
        <w:numPr>
          <w:ilvl w:val="0"/>
          <w:numId w:val="1002"/>
        </w:numPr>
      </w:pPr>
      <w:r>
        <w:t xml:space="preserve">Техническое задание к курсовой работе по дисциплине «Микропроцессорные системы». — М. : НИУ «МЭИ», 2026. — 12 с.</w:t>
      </w:r>
    </w:p>
    <w:p>
      <w:pPr>
        <w:pStyle w:val="Compact"/>
        <w:numPr>
          <w:ilvl w:val="0"/>
          <w:numId w:val="1002"/>
        </w:numPr>
      </w:pPr>
      <w:r>
        <w:t xml:space="preserve">Методические указания к курсовой работе по дисциплине «Микропроцессорные системы». — М. : НИУ «МЭИ», 2026. — 16 с.</w:t>
      </w:r>
    </w:p>
    <w:bookmarkEnd w:id="50"/>
    <w:bookmarkStart w:id="51" w:name="приложение-а"/>
    <w:p>
      <w:pPr>
        <w:pStyle w:val="Heading1"/>
      </w:pPr>
      <w:r>
        <w:br w:type="page"/>
      </w:r>
      <w:r>
        <w:t xml:space="preserve">ПРИЛОЖЕНИЕ А</w:t>
      </w:r>
    </w:p>
    <w:p>
      <w:pPr>
        <w:pStyle w:val="Center"/>
      </w:pPr>
      <w:r>
        <w:rPr>
          <w:b/>
          <w:bCs/>
        </w:rPr>
        <w:t xml:space="preserve">Перечень элементов</w:t>
      </w:r>
    </w:p>
    <w:p>
      <w:pPr>
        <w:pStyle w:val="TableCaption"/>
      </w:pPr>
      <w:r>
        <w:t xml:space="preserve">Таблица А.1 — Перечень элементов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0"/>
        <w:gridCol w:w="4569"/>
        <w:gridCol w:w="522"/>
        <w:gridCol w:w="19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Поз. обозначение</w:t>
            </w:r>
          </w:p>
        </w:tc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Кол.</w:t>
            </w:r>
          </w:p>
        </w:tc>
        <w:tc>
          <w:tcPr/>
          <w:p>
            <w:pPr>
              <w:pStyle w:val="Compac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Конденсаторы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C1, C2</w:t>
            </w:r>
          </w:p>
        </w:tc>
        <w:tc>
          <w:tcPr/>
          <w:p>
            <w:pPr>
              <w:pStyle w:val="Compact"/>
            </w:pPr>
            <w:r>
              <w:t xml:space="preserve">К10-17Б 30 пФ ±10 %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t xml:space="preserve">К50-35 16 В 10 мкФ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t xml:space="preserve">К50-35 16 В 470 мкФ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C5–C15</w:t>
            </w:r>
          </w:p>
        </w:tc>
        <w:tc>
          <w:tcPr/>
          <w:p>
            <w:pPr>
              <w:pStyle w:val="Compact"/>
            </w:pPr>
            <w:r>
              <w:t xml:space="preserve">К10-17Б 33 нФ ±10 %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C16–C19</w:t>
            </w:r>
          </w:p>
        </w:tc>
        <w:tc>
          <w:tcPr/>
          <w:p>
            <w:pPr>
              <w:pStyle w:val="Compact"/>
            </w:pPr>
            <w:r>
              <w:t xml:space="preserve">К10-17Б 220 нФ ±10 %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Микросхемы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DD1</w:t>
            </w:r>
          </w:p>
        </w:tc>
        <w:tc>
          <w:tcPr/>
          <w:p>
            <w:pPr>
              <w:pStyle w:val="Compact"/>
            </w:pPr>
            <w:r>
              <w:t xml:space="preserve">AT89S53-24PU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Микроконтроллер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DD2</w:t>
            </w:r>
          </w:p>
        </w:tc>
        <w:tc>
          <w:tcPr/>
          <w:p>
            <w:pPr>
              <w:pStyle w:val="Compact"/>
            </w:pPr>
            <w:r>
              <w:t xml:space="preserve">74HC173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4-разрядный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DD3</w:t>
            </w:r>
          </w:p>
        </w:tc>
        <w:tc>
          <w:tcPr/>
          <w:p>
            <w:pPr>
              <w:pStyle w:val="Compact"/>
            </w:pPr>
            <w:r>
              <w:t xml:space="preserve">74AC573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8-разрядный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DD4</w:t>
            </w:r>
          </w:p>
        </w:tc>
        <w:tc>
          <w:tcPr/>
          <w:p>
            <w:pPr>
              <w:pStyle w:val="Compact"/>
            </w:pPr>
            <w:r>
              <w:t xml:space="preserve">74HC138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Дешифратор 3 на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DD5</w:t>
            </w:r>
          </w:p>
        </w:tc>
        <w:tc>
          <w:tcPr/>
          <w:p>
            <w:pPr>
              <w:pStyle w:val="Compact"/>
            </w:pPr>
            <w:r>
              <w:t xml:space="preserve">74HC02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 элемента 2ИЛИ-НЕ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DD6</w:t>
            </w:r>
          </w:p>
        </w:tc>
        <w:tc>
          <w:tcPr/>
          <w:p>
            <w:pPr>
              <w:pStyle w:val="Compact"/>
            </w:pPr>
            <w:r>
              <w:t xml:space="preserve">74AC573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8-разрядный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DD7</w:t>
            </w:r>
          </w:p>
        </w:tc>
        <w:tc>
          <w:tcPr/>
          <w:p>
            <w:pPr>
              <w:pStyle w:val="Compact"/>
            </w:pPr>
            <w:r>
              <w:t xml:space="preserve">74HC21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 элемента 4И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DD8</w:t>
            </w:r>
          </w:p>
        </w:tc>
        <w:tc>
          <w:tcPr/>
          <w:p>
            <w:pPr>
              <w:pStyle w:val="Compact"/>
            </w:pPr>
            <w:r>
              <w:t xml:space="preserve">IN74AC244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Повторитель с тремя состояниями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DD9</w:t>
            </w:r>
          </w:p>
        </w:tc>
        <w:tc>
          <w:tcPr/>
          <w:p>
            <w:pPr>
              <w:pStyle w:val="Compact"/>
            </w:pPr>
            <w:r>
              <w:t xml:space="preserve">74HC32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 элемента 2ИЛИ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DD10</w:t>
            </w:r>
          </w:p>
        </w:tc>
        <w:tc>
          <w:tcPr/>
          <w:p>
            <w:pPr>
              <w:pStyle w:val="Compact"/>
            </w:pPr>
            <w:r>
              <w:t xml:space="preserve">IDT7005S55PF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Двухпортовое ОЗУ 8Кx8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DD11</w:t>
            </w:r>
          </w:p>
        </w:tc>
        <w:tc>
          <w:tcPr/>
          <w:p>
            <w:pPr>
              <w:pStyle w:val="Compact"/>
            </w:pPr>
            <w:r>
              <w:t xml:space="preserve">74AC573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8-разрядный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Индикаторы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HG1</w:t>
            </w:r>
          </w:p>
        </w:tc>
        <w:tc>
          <w:tcPr/>
          <w:p>
            <w:pPr>
              <w:pStyle w:val="Compact"/>
            </w:pPr>
            <w:r>
              <w:t xml:space="preserve">Индикатор FYS-5612AX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Общий катод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Резисторы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МЛТ-0,125 10 кОм ±5 %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R2–R5</w:t>
            </w:r>
          </w:p>
        </w:tc>
        <w:tc>
          <w:tcPr/>
          <w:p>
            <w:pPr>
              <w:pStyle w:val="Compact"/>
            </w:pPr>
            <w:r>
              <w:t xml:space="preserve">МЛТ-0,125 2 кОм ±5 %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R6–R9</w:t>
            </w:r>
          </w:p>
        </w:tc>
        <w:tc>
          <w:tcPr/>
          <w:p>
            <w:pPr>
              <w:pStyle w:val="Compact"/>
            </w:pPr>
            <w:r>
              <w:t xml:space="preserve">МЛТ-0,125 10 кОм ±5 %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R10–R17</w:t>
            </w:r>
          </w:p>
        </w:tc>
        <w:tc>
          <w:tcPr/>
          <w:p>
            <w:pPr>
              <w:pStyle w:val="Compact"/>
            </w:pPr>
            <w:r>
              <w:t xml:space="preserve">МЛТ-0,125 330 Ом ±5 %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Кнопки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SB1–SB12</w:t>
            </w:r>
          </w:p>
        </w:tc>
        <w:tc>
          <w:tcPr/>
          <w:p>
            <w:pPr>
              <w:pStyle w:val="Compact"/>
            </w:pPr>
            <w:r>
              <w:t xml:space="preserve">Кнопка DTSM-62N-V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Диоды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VD1–VD3</w:t>
            </w:r>
          </w:p>
        </w:tc>
        <w:tc>
          <w:tcPr/>
          <w:p>
            <w:pPr>
              <w:pStyle w:val="Compact"/>
            </w:pPr>
            <w:r>
              <w:t xml:space="preserve">Диод КД521А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Разъёмы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XS1</w:t>
            </w:r>
          </w:p>
        </w:tc>
        <w:tc>
          <w:tcPr/>
          <w:p>
            <w:pPr>
              <w:pStyle w:val="Compact"/>
            </w:pPr>
            <w:r>
              <w:t xml:space="preserve">Розетка PBS-23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23 конт.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Резонаторы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ZQ1</w:t>
            </w:r>
          </w:p>
        </w:tc>
        <w:tc>
          <w:tcPr/>
          <w:p>
            <w:pPr>
              <w:pStyle w:val="Compact"/>
            </w:pPr>
            <w:r>
              <w:t xml:space="preserve">Резонатор кварцевый HC-49S 12 МГц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</w:tbl>
    <w:bookmarkEnd w:id="51"/>
    <w:bookmarkStart w:id="55" w:name="приложение-б"/>
    <w:p>
      <w:pPr>
        <w:pStyle w:val="Heading1"/>
      </w:pPr>
      <w:r>
        <w:br w:type="page"/>
      </w:r>
      <w:r>
        <w:t xml:space="preserve">ПРИЛОЖЕНИЕ Б</w:t>
      </w:r>
    </w:p>
    <w:p>
      <w:pPr>
        <w:pStyle w:val="Center"/>
      </w:pPr>
      <w:r>
        <w:rPr>
          <w:b/>
          <w:bCs/>
        </w:rPr>
        <w:t xml:space="preserve">Схема электрическая принципиальная</w:t>
      </w:r>
    </w:p>
    <w:p>
      <w:pPr>
        <w:pStyle w:val="Figure"/>
      </w:pPr>
      <w:r>
        <w:drawing>
          <wp:inline>
            <wp:extent cx="5219999" cy="7382103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sheet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999" cy="7382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Б.1 — Схема электрическая принципиальная (группа А-06-23, вариант 1, Э3)</w:t>
      </w:r>
    </w:p>
    <w:bookmarkEnd w:id="55"/>
    <w:sectPr>
      <w:headerReference r:id="rIdHdr1" w:type="default"/>
      <w:headerReference r:id="rIdHdr2" w:type="first"/>
      <w:footerReference r:id="rIdFtr1" w:type="default"/>
      <w:footerReference r:id="rIdFtr2" w:type="first"/>
      <w:pgSz w:h="16838" w:w="11906"/>
      <w:pgMar w:bottom="1134" w:footer="567" w:gutter="0" w:header="567" w:left="1417" w:right="567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ind w:firstLine="0"/>
    </w:pPr>
  </w:p>
</w:hdr>
</file>

<file path=word/header2.xml><?xml version="1.0" encoding="utf-8"?>
<w:hdr xmlns:w="http://schemas.openxmlformats.org/wordprocessingml/2006/main" xmlns:r="http://schemas.openxmlformats.org/officeDocument/2006/relationships">
  <w:p/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ru-RU" w:val="ru-RU"/>
      </w:rPr>
    </w:rPrDefault>
    <w:pPrDefault>
      <w:pPr>
        <w:spacing w:after="0" w:line="240" w:lineRule="auto"/>
      </w:pPr>
    </w:pPrDefault>
  </w:docDefaults>
  <w:style w:default="1" w:styleId="Normal" w:type="paragraph">
    <w:name w:val="Normal"/>
    <w:qFormat/>
    <w:pPr>
      <w:spacing w:after="0" w:before="0" w:line="240" w:lineRule="auto"/>
      <w:ind w:firstLine="708"/>
      <w:jc w:val="both"/>
    </w:pPr>
    <w:rPr>
      <w:rFonts w:ascii="Times New Roman" w:cs="Times New Roman" w:eastAsia="Times New Roman" w:hAnsi="Times New Roman"/>
      <w:sz w:val="24"/>
      <w:szCs w:val="24"/>
    </w:rPr>
  </w:style>
  <w:style w:customStyle="1" w:styleId="BodyText" w:type="paragraph">
    <w:name w:val="Body Text"/>
    <w:basedOn w:val="Normal"/>
    <w:qFormat/>
    <w:pPr>
      <w:spacing w:after="0" w:before="0" w:line="240" w:lineRule="auto"/>
      <w:ind w:firstLine="708"/>
      <w:jc w:val="both"/>
    </w:pPr>
  </w:style>
  <w:style w:customStyle="1" w:styleId="FirstParagraph" w:type="paragraph">
    <w:name w:val="First Paragraph"/>
    <w:basedOn w:val="BodyText"/>
    <w:next w:val="BodyText"/>
    <w:qFormat/>
    <w:pPr/>
  </w:style>
  <w:style w:customStyle="1" w:styleId="Compact" w:type="paragraph">
    <w:name w:val="Compact"/>
    <w:basedOn w:val="Normal"/>
    <w:qFormat/>
    <w:pPr>
      <w:ind w:firstLine="0"/>
      <w:jc w:val="left"/>
    </w:pPr>
  </w:style>
  <w:style w:customStyle="1" w:styleId="Title" w:type="paragraph">
    <w:name w:val="Title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sz w:val="28"/>
      <w:szCs w:val="28"/>
    </w:rPr>
  </w:style>
  <w:style w:customStyle="1" w:styleId="Subtitle" w:type="paragraph">
    <w:name w:val="Subtitle"/>
    <w:basedOn w:val="Normal"/>
    <w:qFormat/>
    <w:pPr>
      <w:spacing w:after="0" w:before="0" w:line="240" w:lineRule="auto"/>
      <w:ind w:firstLine="0"/>
      <w:jc w:val="center"/>
    </w:pPr>
  </w:style>
  <w:style w:customStyle="1" w:styleId="TitlePage" w:type="paragraph">
    <w:name w:val="TitlePage"/>
    <w:basedOn w:val="Normal"/>
    <w:qFormat/>
    <w:pPr>
      <w:spacing w:after="0" w:before="0" w:line="240" w:lineRule="auto"/>
      <w:ind w:firstLine="0"/>
      <w:jc w:val="center"/>
    </w:pPr>
  </w:style>
  <w:style w:customStyle="1" w:styleId="TitleRight" w:type="paragraph">
    <w:name w:val="TitleRight"/>
    <w:basedOn w:val="Normal"/>
    <w:qFormat/>
    <w:pPr>
      <w:ind w:firstLine="0" w:left="5103"/>
      <w:jc w:val="left"/>
    </w:pPr>
  </w:style>
  <w:style w:customStyle="1" w:styleId="Center" w:type="paragraph">
    <w:name w:val="Center"/>
    <w:basedOn w:val="Normal"/>
    <w:qFormat/>
    <w:pPr>
      <w:spacing w:after="0" w:before="0" w:line="240" w:lineRule="auto"/>
      <w:ind w:firstLine="0"/>
      <w:jc w:val="center"/>
    </w:pPr>
  </w:style>
  <w:style w:customStyle="1" w:styleId="ListingTitle" w:type="paragraph">
    <w:name w:val="ListingTitle"/>
    <w:basedOn w:val="Normal"/>
    <w:qFormat/>
    <w:pPr>
      <w:keepNext/>
      <w:spacing w:after="60" w:before="240"/>
      <w:ind w:firstLine="0"/>
      <w:jc w:val="left"/>
    </w:pPr>
    <w:rPr>
      <w:rFonts w:ascii="Times New Roman" w:cs="Times New Roman" w:eastAsia="Times New Roman" w:hAnsi="Times New Roman"/>
      <w:b/>
      <w:sz w:val="24"/>
      <w:szCs w:val="24"/>
    </w:rPr>
  </w:style>
  <w:style w:customStyle="1" w:styleId="Fill" w:type="paragraph">
    <w:name w:val="Fill"/>
    <w:basedOn w:val="Normal"/>
    <w:qFormat/>
    <w:pPr>
      <w:pBdr>
        <w:left w:color="E0A800" w:space="4" w:sz="18" w:val="single"/>
      </w:pBdr>
      <w:shd w:color="auto" w:fill="FFF2A8" w:val="clear"/>
    </w:pPr>
    <w:rPr>
      <w:rFonts w:ascii="Times New Roman" w:cs="Times New Roman" w:eastAsia="Times New Roman" w:hAnsi="Times New Roman"/>
      <w:i/>
      <w:sz w:val="24"/>
      <w:szCs w:val="24"/>
    </w:rPr>
  </w:style>
  <w:style w:customStyle="1" w:styleId="SourceCode" w:type="paragraph">
    <w:name w:val="Source Code"/>
    <w:basedOn w:val="Normal"/>
    <w:qFormat/>
    <w:pPr>
      <w:wordWrap w:val="off"/>
      <w:ind w:firstLine="0"/>
      <w:jc w:val="left"/>
    </w:pPr>
    <w:rPr>
      <w:rFonts w:ascii="Courier New" w:cs="Courier New" w:hAnsi="Courier New"/>
      <w:sz w:val="18"/>
      <w:szCs w:val="18"/>
    </w:rPr>
  </w:style>
  <w:style w:customStyle="1" w:styleId="BlockText" w:type="paragraph">
    <w:name w:val="Block Text"/>
    <w:basedOn w:val="Normal"/>
    <w:qFormat/>
    <w:pPr>
      <w:spacing w:after="0" w:before="0" w:line="240" w:lineRule="auto"/>
      <w:ind w:firstLine="708"/>
      <w:jc w:val="both"/>
    </w:pPr>
  </w:style>
  <w:style w:customStyle="1" w:styleId="Caption" w:type="paragraph">
    <w:name w:val="Caption"/>
    <w:basedOn w:val="Normal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ImageCaption" w:type="paragraph">
    <w:name w:val="Image Caption"/>
    <w:basedOn w:val="Caption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TableCaption" w:type="paragraph">
    <w:name w:val="Table Caption"/>
    <w:basedOn w:val="Caption"/>
    <w:qFormat/>
    <w:pPr>
      <w:keepNext/>
      <w:spacing w:after="60" w:before="240"/>
      <w:ind w:firstLine="0"/>
      <w:jc w:val="left"/>
    </w:pPr>
  </w:style>
  <w:style w:customStyle="1" w:styleId="TableNum" w:type="paragraph">
    <w:name w:val="TableNum"/>
    <w:basedOn w:val="Normal"/>
    <w:qFormat/>
    <w:pPr>
      <w:keepNext/>
      <w:spacing w:after="0" w:before="240"/>
      <w:ind w:firstLine="0"/>
      <w:jc w:val="right"/>
    </w:pPr>
  </w:style>
  <w:style w:customStyle="1" w:styleId="Figure" w:type="paragraph">
    <w:name w:val="Figure"/>
    <w:basedOn w:val="Normal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CaptionedFigure" w:type="paragraph">
    <w:name w:val="Captioned Figure"/>
    <w:basedOn w:val="Figure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TOCHeading" w:type="paragraph">
    <w:name w:val="TOC Heading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caps/>
      <w:sz w:val="24"/>
      <w:szCs w:val="24"/>
    </w:rPr>
  </w:style>
  <w:style w:styleId="Heading1" w:type="paragraph">
    <w:name w:val="heading 1"/>
    <w:basedOn w:val="Normal"/>
    <w:next w:val="BodyText"/>
    <w:qFormat/>
    <w:pPr>
      <w:keepNext/>
      <w:keepLines/>
      <w:spacing w:after="240" w:before="0"/>
      <w:ind w:firstLine="708"/>
      <w:jc w:val="left"/>
      <w:outlineLvl w:val="0"/>
    </w:pPr>
    <w:rPr>
      <w:rFonts w:ascii="Times New Roman" w:cs="Times New Roman" w:eastAsia="Times New Roman" w:hAnsi="Times New Roman"/>
      <w:b/>
      <w:sz w:val="28"/>
      <w:szCs w:val="28"/>
    </w:rPr>
  </w:style>
  <w:style w:styleId="Heading2" w:type="paragraph">
    <w:name w:val="heading 2"/>
    <w:basedOn w:val="Normal"/>
    <w:next w:val="BodyText"/>
    <w:qFormat/>
    <w:pPr>
      <w:keepNext/>
      <w:keepLines/>
      <w:spacing w:after="120" w:before="240"/>
      <w:ind w:firstLine="708"/>
      <w:jc w:val="left"/>
      <w:outlineLvl w:val="1"/>
    </w:pPr>
    <w:rPr>
      <w:rFonts w:ascii="Times New Roman" w:cs="Times New Roman" w:eastAsia="Times New Roman" w:hAnsi="Times New Roman"/>
      <w:b/>
      <w:sz w:val="24"/>
      <w:szCs w:val="24"/>
    </w:rPr>
  </w:style>
  <w:style w:styleId="Heading3" w:type="paragraph">
    <w:name w:val="heading 3"/>
    <w:basedOn w:val="Normal"/>
    <w:next w:val="BodyText"/>
    <w:qFormat/>
    <w:pPr>
      <w:keepNext/>
      <w:keepLines/>
      <w:spacing w:after="60" w:before="120"/>
      <w:ind w:firstLine="708"/>
      <w:jc w:val="left"/>
      <w:outlineLvl w:val="2"/>
    </w:pPr>
    <w:rPr>
      <w:rFonts w:ascii="Times New Roman" w:cs="Times New Roman" w:eastAsia="Times New Roman" w:hAnsi="Times New Roman"/>
      <w:b/>
      <w:sz w:val="24"/>
      <w:szCs w:val="24"/>
    </w:rPr>
  </w:style>
  <w:style w:styleId="TOC1" w:type="paragraph">
    <w:name w:val="toc 1"/>
    <w:basedOn w:val="Normal"/>
    <w:pPr>
      <w:tabs>
        <w:tab w:leader="dot" w:pos="9627" w:val="right"/>
      </w:tabs>
      <w:ind w:firstLine="0" w:left="0"/>
      <w:jc w:val="left"/>
    </w:pPr>
  </w:style>
  <w:style w:styleId="TOC2" w:type="paragraph">
    <w:name w:val="toc 2"/>
    <w:basedOn w:val="Normal"/>
    <w:pPr>
      <w:tabs>
        <w:tab w:leader="dot" w:pos="9627" w:val="right"/>
      </w:tabs>
      <w:ind w:firstLine="0" w:left="240"/>
      <w:jc w:val="left"/>
    </w:pPr>
  </w:style>
  <w:style w:styleId="TOC3" w:type="paragraph">
    <w:name w:val="toc 3"/>
    <w:basedOn w:val="Normal"/>
    <w:pPr>
      <w:tabs>
        <w:tab w:leader="dot" w:pos="9627" w:val="right"/>
      </w:tabs>
      <w:ind w:firstLine="0" w:left="480"/>
      <w:jc w:val="left"/>
    </w:pPr>
  </w:style>
  <w:style w:default="1" w:styleId="DefaultParagraphFont" w:type="character">
    <w:name w:val="Default Paragraph Font"/>
    <w:uiPriority w:val="1"/>
    <w:semiHidden/>
  </w:style>
  <w:style w:customStyle="1" w:styleId="BodyTextChar" w:type="character">
    <w:name w:val="Body Text Char"/>
    <w:basedOn w:val="DefaultParagraphFont"/>
  </w:style>
  <w:style w:customStyle="1" w:styleId="VerbatimChar" w:type="character">
    <w:name w:val="Verbatim Char"/>
    <w:basedOn w:val="DefaultParagraphFont"/>
    <w:rPr>
      <w:rFonts w:ascii="Courier New" w:hAnsi="Courier New"/>
    </w:rPr>
  </w:style>
  <w:style w:styleId="Hyperlink" w:type="character">
    <w:name w:val="Hyperlink"/>
    <w:basedOn w:val="DefaultParagraphFont"/>
  </w:style>
  <w:style w:styleId="FootnoteReference" w:type="character">
    <w:name w:val="footnote reference"/>
    <w:basedOn w:val="DefaultParagraphFont"/>
    <w:rPr>
      <w:vertAlign w:val="superscript"/>
    </w:rPr>
  </w:style>
  <w:style w:styleId="FootnoteText" w:type="paragraph">
    <w:name w:val="footnote text"/>
    <w:basedOn w:val="Normal"/>
    <w:pPr>
      <w:ind w:firstLine="0"/>
    </w:pPr>
    <w:rPr>
      <w:sz w:val="20"/>
    </w:rPr>
  </w:style>
  <w:style w:default="1" w:styleId="TableNormal" w:type="table">
    <w:name w:val="Normal Table"/>
    <w:uiPriority w:val="99"/>
    <w:semiHidden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able" w:type="table">
    <w:name w:val="Table"/>
    <w:basedOn w:val="TableNormal"/>
    <w:qFormat/>
    <w:pPr>
      <w:ind w:firstLine="0"/>
      <w:jc w:val="left"/>
    </w:pPr>
    <w:tblPr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left w:type="dxa" w:w="85"/>
        <w:right w:type="dxa" w:w="85"/>
      </w:tblCellMar>
    </w:tblPr>
    <w:tblStylePr w:type="firstRow">
      <w:pPr>
        <w:jc w:val="center"/>
      </w:pPr>
      <w:rPr>
        <w:b/>
      </w:rPr>
      <w:tcPr>
        <w:vAlign w:val="center"/>
      </w:tcPr>
    </w:tblStylePr>
  </w:style>
  <w:style w:type="paragraph" w:customStyle="1" w:styleId="ImageCaption">
    <w:name w:val="ImageCaption"/>
    <w:basedOn w:val="BodyText"/>
    <w:qFormat/>
  </w:style>
  <w:style w:type="paragraph" w:customStyle="1" w:styleId="TableCaption">
    <w:name w:val="TableCaption"/>
    <w:basedOn w:val="BodyText"/>
    <w:qFormat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dr1" Target="header1.xml" Type="http://schemas.openxmlformats.org/officeDocument/2006/relationships/header" /><Relationship Id="rIdHdr2" Target="header2.xml" Type="http://schemas.openxmlformats.org/officeDocument/2006/relationships/header" /><Relationship Id="rIdFtr1" Target="footer1.xml" Type="http://schemas.openxmlformats.org/officeDocument/2006/relationships/footer" /><Relationship Id="rIdFtr2" Target="footer2.xml" Type="http://schemas.openxmlformats.org/officeDocument/2006/relationships/footer" /><Relationship Type="http://schemas.openxmlformats.org/officeDocument/2006/relationships/image" Id="rId13" Target="media/rId13.png" /><Relationship Type="http://schemas.openxmlformats.org/officeDocument/2006/relationships/image" Id="rId20" Target="media/rId20.png" /><Relationship Type="http://schemas.openxmlformats.org/officeDocument/2006/relationships/image" Id="rId31" Target="media/rId31.png" /><Relationship Type="http://schemas.openxmlformats.org/officeDocument/2006/relationships/image" Id="rId27" Target="media/rId27.png" /><Relationship Type="http://schemas.openxmlformats.org/officeDocument/2006/relationships/image" Id="rId24" Target="media/rId24.png" /><Relationship Type="http://schemas.openxmlformats.org/officeDocument/2006/relationships/image" Id="rId17" Target="media/rId17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image" Id="rId52" Target="media/rId52.png" /><Relationship Type="http://schemas.openxmlformats.org/officeDocument/2006/relationships/image" Id="rId10" Target="media/rId10.png" /><Relationship Type="http://schemas.openxmlformats.org/officeDocument/2006/relationships/image" Id="rId34" Target="media/rId34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2026-10-08T09:26:33Z</dcterms:created>
  <dcterms:modified xsi:type="dcterms:W3CDTF">2026-10-08T09:26:33Z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