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Грошев А.В.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А-06-23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Ключанский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1, группа А-06-23),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Проектируемая система на AT89S53 собирает отсчёты X2, которые присылает внешнее устройство, в кольцевой буфер на двухпортовом ОЗУ IDT7005, а по ним и по числу X1, набранному оператором, вырабатывает выходной код Y2 = (7 + X1 + X2) mod 256 со стробом на P1.2. В моём варианте (А-06, M = 1) клавиатура 3×4 — три столбца и четыре строки, нажатие сообщается прерыванием INT0; введённая цифра выводится на семисегментный индикатор с общим катодом и гаснет через T3 = 2150 мс. Клавиша «Тест» запускает строб Y1 длительностью 176 мс на выводе P1.1, а буфер рассчитан на 1210 байт (адреса 2000h–24B9h). Все внешние устройства выбираются дешифратором 74HC138 по старшим линиям адреса A13–A15, пока CS_EN = P3.4 равен 1.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176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1536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176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2,150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1536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38h, «хвост» 3Ah; флаги пустоты 20h.1 и переполнения 20h.7;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Буфер (IDT7005)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Индикатор (Y2)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Регистр Y2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Клавиатура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FYS-5612AX с общим катодом — сегмент горит при высоком уровне.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5Bh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7Dh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6Fh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79h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00h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7). Объём буфера по варианту V = 1210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1210), в схеме подключены все 13 адресных входов A0–A12, буфер занимает ячейки 2000h–24B9h окна Y1.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Y1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3FFFh,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2000h–24B9h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Оба порта IDT7005 подключены к одной адресной шине МК (A0–A12) и к одному сигналу выбора буфера с дешифратора, поэтому адрес ячейки всегда задаёт микроконтроллер. Внешнее устройство только выставляет очередной отсчёт X2 на данные правого порта и подаёт строб, который по спаду вызывает прерывание INT1. В обработчике МК кладёт в DPTR адрес «головы» и выполняет movx</w:t>
      </w:r>
      <w:r>
        <w:t xml:space="preserve"> </w:t>
      </w:r>
      <w:r>
        <w:t xml:space="preserve">@DPTR</w:t>
      </w:r>
      <w:r>
        <w:t xml:space="preserve">,A: сигнал WR идёт на R/W правого порта, и в ячейку записывается байт с разъёма, а не содержимое аккумулятора; затем программа сдвигает «голову» на следующую ячейку с заворотом после 24B9h. Левый порт МК использует только для чтения: по адресу «хвоста» команда movx A,</w:t>
      </w:r>
      <w:r>
        <w:t xml:space="preserve">@DPTR</w:t>
      </w:r>
      <w:r>
        <w:t xml:space="preserve"> </w:t>
      </w:r>
      <w:r>
        <w:t xml:space="preserve">выдаёт RD на OE левого порта, после чего «хвост» тоже сдвигается. Таким образом «голову» двигает обработчик INT1, «хвост» — процедура чтения в основной программе, а флаги пустоты и переполнения показывают, догнал ли один указатель другой.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176 мс на выводе P1.1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(6 + 1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10), выбираемый выходом Y3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1536 мкс на выводе P1.2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FYS-5612AX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катод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А-06-23, вариант 1,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2026-10-09T17:17:22Z</dcterms:created>
  <dcterms:modified xsi:type="dcterms:W3CDTF">2026-10-09T17:17:22Z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