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</w:t>
            </w:r>
            <w:r>
              <w:rPr>
                <w:sz w:val="28"/>
                <w:u w:val="single"/>
              </w:rPr>
              <w:t xml:space="preserve">Лапташкин В.И.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</w:t>
            </w:r>
            <w:r>
              <w:rPr>
                <w:sz w:val="28"/>
                <w:u w:val="single"/>
              </w:rPr>
              <w:t xml:space="preserve">А-08-23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</w:t>
            </w:r>
            <w:r>
              <w:rPr>
                <w:sz w:val="28"/>
                <w:u w:val="single"/>
              </w:rPr>
              <w:t xml:space="preserve">12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  <w:r>
              <w:rPr>
                <w:sz w:val="28"/>
                <w:u w:val="single"/>
              </w:rPr>
              <w:t xml:space="preserve">06.10.26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</w:t>
            </w:r>
            <w:r>
              <w:rPr>
                <w:sz w:val="28"/>
                <w:u w:val="single"/>
              </w:rPr>
              <w:t xml:space="preserve">Гольцов А.Г.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1.1.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1.2.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1.3.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1.4.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1.5.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1.6.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12, группа А-08-23), выполнены расчёты элементов сопряжения и построены временные диаграммы обмена МК с буфером.</w:t>
      </w:r>
    </w:p>
    <w:p>
      <w:pPr>
        <w:pStyle w:val="BodyText"/>
      </w:pPr>
      <w:r>
        <w:t xml:space="preserve">В работе проектируется аппаратная часть микропроцессорной системы на AT89S53 для варианта 12 группы А-08. Система собирает отсчёты сигнала X2 от внешнего устройства в кольцевой буфер на 1528 байт (двухпортовое ОЗУ IDT7005, ячейки 6000h–65F7h), принимает команды и число X1 с клавиатуры 4×3, показывает символ на семисегментном индикаторе с общим анодом и формирует выходные сигналы: строб Y1 длительностью 298 мс на выводе P1.5 и байт Y2 = (20 + X1 + X2) mod 256, который заносится в отдельный регистр и сопровождается стробом 2068 мкс на P1.6. Особенность задания этого года — все внешние устройства выбираются через дешифратор 74HC138 по старшим разрядам адреса A13–A15 (у меня буфер — выход Y3, регистр Y2 — Y4, индикатор — Y5, клавиатура — Y6), а сам дешифратор включается линией CS_EN = P3.4.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1.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1.1.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1.1)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1.1.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4×3 и семисегментный индикатор.</w:t>
      </w:r>
    </w:p>
    <w:p>
      <w:pPr>
        <w:pStyle w:val="FirstParagraph"/>
      </w:pPr>
      <w:r>
        <w:t xml:space="preserve">Функциональная схема (рисунок 1.2) показывает, какими микросхемами реализованы блоки и как они связаны. Младший байт адреса и данные передаются по порту P0 и фиксируются защёлкой DD4 по сигналу ALE; старшие разряды адреса выдаёт порт P2. Три старших разряда A13–A15 поступают на дешифратор DD11,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1.2.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1.1.</w:t>
      </w:r>
    </w:p>
    <w:p>
      <w:pPr>
        <w:pStyle w:val="TableNum"/>
      </w:pPr>
      <w:r>
        <w:t xml:space="preserve">Таблица 1.1</w:t>
      </w:r>
    </w:p>
    <w:p>
      <w:pPr>
        <w:pStyle w:val="TableCaption"/>
      </w:pPr>
      <w:r>
        <w:t xml:space="preserve">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298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2068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298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2,820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2068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40h, «хвост» 42h; флаги пустоты 21h.4 и переполнения 22h.4;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1.2.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1.3. Тактовая частота задаётся кварцевым резонатором ZQ1 на 12 МГц; машинный цикл МК равен 12 периодам генератора, т. е. 1 мкс. Конденсаторы C1, C2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945357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94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1.3. Схема микропроцессорного устройства</w:t>
      </w:r>
    </w:p>
    <w:p>
      <w:pPr>
        <w:pStyle w:val="BodyText"/>
      </w:pPr>
      <w:r>
        <w:t xml:space="preserve">Сброс МК выполняется RC-цепью C3–R1: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 кОм · 10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DD4 (74AC573) фиксирует младший байт адреса с порта P0 по спаду ALE; дальше по P0 передаются данные. Выбор внешних устройств выполняет дешифратор DD11 (74HC138, рисунок 1.4):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1.2).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1.4. Дешифратор адреса внешних устройств</w:t>
      </w:r>
    </w:p>
    <w:p>
      <w:pPr>
        <w:pStyle w:val="TableNum"/>
      </w:pPr>
      <w:r>
        <w:t xml:space="preserve">Таблица 1.2</w:t>
      </w:r>
    </w:p>
    <w:p>
      <w:pPr>
        <w:pStyle w:val="TableCaption"/>
      </w:pPr>
      <w:r>
        <w:t xml:space="preserve">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1.3, карта адресного пространства — в таблице 1.4.</w:t>
      </w:r>
    </w:p>
    <w:p>
      <w:pPr>
        <w:pStyle w:val="TableNum"/>
      </w:pPr>
      <w:r>
        <w:t xml:space="preserve">Таблица 1.3</w:t>
      </w:r>
    </w:p>
    <w:p>
      <w:pPr>
        <w:pStyle w:val="TableCaption"/>
      </w:pPr>
      <w:r>
        <w:t xml:space="preserve">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1.4</w:t>
      </w:r>
    </w:p>
    <w:p>
      <w:pPr>
        <w:pStyle w:val="TableCaption"/>
      </w:pPr>
      <w:r>
        <w:t xml:space="preserve">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Буфер (IDT7005) (Y3)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Регистр Y2 (Y4)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Индикатор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Клавиатура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1.3. Разработка панели управления</w:t>
      </w:r>
    </w:p>
    <w:p>
      <w:pPr>
        <w:pStyle w:val="FirstParagraph"/>
      </w:pPr>
      <w:r>
        <w:t xml:space="preserve">Клавиатура (рисунок 1.5) — матрица 4×3 из 12 кнопок. Столбцы Col1…Col4 задаются 4-разрядным регистром DD2 (74HC173), который записывается по адресу клавиатуры; сброс регистра подключён к RST, поэтому после включения все столбцы в нуле. Строки Row1…Row3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293079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293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1.5.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(R2–R4) и соединена со входом через резистор R2 = 10 кОм (R5–R7); конденсатор C (C16–C18)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(C16–C18)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1.5.</w:t>
      </w:r>
    </w:p>
    <w:p>
      <w:pPr>
        <w:pStyle w:val="TableNum"/>
      </w:pPr>
      <w:r>
        <w:t xml:space="preserve">Таблица 1.5</w:t>
      </w:r>
    </w:p>
    <w:p>
      <w:pPr>
        <w:pStyle w:val="TableCaption"/>
      </w:pPr>
      <w:r>
        <w:t xml:space="preserve">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1.6) — семисегментный FYS-5612BX с общим анодом — сегмент горит при низком уровне на выходе регистра. Код символа записывается в регистр DD10 (74AC573), который защёлкивает его по окончании записи (Load = ИЛИ-НЕ(CS, WR), элемент DD3);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715999" cy="234792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999" cy="234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1.6.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(R8–R15,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1.6.</w:t>
      </w:r>
    </w:p>
    <w:p>
      <w:pPr>
        <w:pStyle w:val="TableNum"/>
      </w:pPr>
      <w:r>
        <w:t xml:space="preserve">Таблица 1.6</w:t>
      </w:r>
    </w:p>
    <w:p>
      <w:pPr>
        <w:pStyle w:val="TableCaption"/>
      </w:pPr>
      <w:r>
        <w:t xml:space="preserve">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1.4.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(DD8, 8 Кбайт × 8, рисунок 1.7). Объём буфера по варианту V = 1528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1528), в схеме подключены все 13 адресных входов A0–A12, буфер занимает ячейки 6000h–65F7h окна Y3.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Подключение выполнено по методическим указаниям (приложение А). Оба порта выбираются одним сигналом CS_buf — выходом Y3 дешифратора, и на оба порта с шины МК подаётся один и тот же адрес A0–A12, поэтому МК обращается к одной и той же ячейке с двух сторон. Левый порт работает только на чтение (R/W = 1): его данные D0–D7 подключены к шине P0, выходы открывает RD (OE). Правый порт работает только на запись (OE = 1): данные I/O0R–I/O7R подключены к разъёму внешнего устройства, запись выполняет сигнал WR МК (R/W правого порта). Внешнее устройство выставляет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на разъём и сообщает о нём стробом X2, который поступает на вход прерывания INT1. Обработчик прерывания выставляет адрес «головы» и выполняет movx</w:t>
      </w:r>
      <w:r>
        <w:t xml:space="preserve"> </w:t>
      </w:r>
      <w:r>
        <w:t xml:space="preserve">@DPTR</w:t>
      </w:r>
      <w:r>
        <w:t xml:space="preserve">, A: в цикле записи МК в ячейку попадает байт с разъёма, а не содержимое аккумулятора, после чего МК сдвигает указатель «голова» и обновляет флаги. Чтение кольца (movx A,</w:t>
      </w:r>
      <w:r>
        <w:t xml:space="preserve"> </w:t>
      </w:r>
      <w:r>
        <w:t xml:space="preserve">@DPTR</w:t>
      </w:r>
      <w:r>
        <w:t xml:space="preserve">) идёт через левый порт. Указатели и флаги буфера целиком ведёт МК, внешнему устройству адрес знать не нужно.</w:t>
      </w:r>
    </w:p>
    <w:p>
      <w:pPr>
        <w:pStyle w:val="Figure"/>
      </w:pPr>
      <w:r>
        <w:drawing>
          <wp:inline>
            <wp:extent cx="3347999" cy="415232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4152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1.7. Подключение кольцевого буфера</w:t>
      </w:r>
    </w:p>
    <w:p>
      <w:pPr>
        <w:pStyle w:val="BodyText"/>
      </w:pPr>
      <w:r>
        <w:t xml:space="preserve">Адресом буфера всегда управляет только микроконтроллер: оба порта IDT7005 получают с шины один и тот же адрес A0–A12 и один сигнал выбора CS_buf (выход Y3 дешифратора), поэтому левый и правый порты в каждый момент смотрят на одну ячейку. Внешнее устройство лишь выставляет очередной отсчёт X2 на линии данных правого порта (разъём) и сообщает о нём стробом X2, который приходит на вход INT1. В обработчике INT1 МК загружает в DPTR адрес «головы» и выполняет movx</w:t>
      </w:r>
      <w:r>
        <w:t xml:space="preserve"> </w:t>
      </w:r>
      <w:r>
        <w:t xml:space="preserve">@DPTR</w:t>
      </w:r>
      <w:r>
        <w:t xml:space="preserve">, A: импульс WR идёт на R/W правого порта, и в ячейку записывается байт с разъёма, а не содержимое аккумулятора; затем МК сдвигает «голову» на следующую ячейку и обновляет флаги пустоты и переполнения. Когда отсчёт нужен программе, МК выставляет адрес «хвоста» и командой movx A,</w:t>
      </w:r>
      <w:r>
        <w:t xml:space="preserve"> </w:t>
      </w:r>
      <w:r>
        <w:t xml:space="preserve">@DPTR</w:t>
      </w:r>
      <w:r>
        <w:t xml:space="preserve"> </w:t>
      </w:r>
      <w:r>
        <w:t xml:space="preserve">читает ячейку через левый порт (OE от RD), после чего сдвигает «хвост»; на границе 65F7h оба указателя возвращаются на 6000h.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1.8 и 1.9; параметры — по документации AT89S53 для кварца 12 МГц [1] (таблица 1.7).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1.8.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1.9.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Num"/>
      </w:pPr>
      <w:r>
        <w:t xml:space="preserve">Таблица 1.7</w:t>
      </w:r>
    </w:p>
    <w:p>
      <w:pPr>
        <w:pStyle w:val="TableCaption"/>
      </w:pPr>
      <w:r>
        <w:t xml:space="preserve">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1.8). Время, которое МК даёт ОЗУ, получено из параметров таблицы 1.7: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Num"/>
      </w:pPr>
      <w:r>
        <w:t xml:space="preserve">Таблица 1.8</w:t>
      </w:r>
    </w:p>
    <w:p>
      <w:pPr>
        <w:pStyle w:val="TableCaption"/>
      </w:pPr>
      <w:r>
        <w:t xml:space="preserve">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X2 стоит на разъёме до строба X2 и до конца обработки (≥ 400 нс)</w:t>
            </w:r>
          </w:p>
        </w:tc>
        <w:tc>
          <w:tcPr/>
          <w:p>
            <w:pPr>
              <w:pStyle w:val="Compact"/>
            </w:pPr>
            <w:r>
              <w:t xml:space="preserve">≥ 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X2 держится до следующего отсчёта (≥ 250 мс)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Из таблицы видно, что самое жёсткое требование ОЗУ — выдать данные не позже 55 нс после установки адреса, а МК при кварце 12 МГц ждёт их почти 500 нс, то есть микросхема успевает с большим запасом. При записи импульс WR длится не меньше 400 нс против нужных IDT7005 40 нс, а байт X2 стоит на разъёме задолго до строба и держится до следующего отсчёта. Значит, буфер можно подключать прямо к шине P0/P2 без дополнительных задержек и согласующих элементов.</w:t>
      </w:r>
    </w:p>
    <w:bookmarkEnd w:id="40"/>
    <w:bookmarkStart w:id="44" w:name="Xbe4e45f6fef73311d865db210a104418b844c3a"/>
    <w:p>
      <w:pPr>
        <w:pStyle w:val="Heading2"/>
      </w:pPr>
      <w:r>
        <w:t xml:space="preserve">1.5.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298 мс на выводе P1.5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(8 + 12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DD5 (74AC573, рисунок 1.10), выбираемый выходом Y4 дешифратора; регистр защёлкивает данные по окончании записи (Load = ИЛИ-НЕ(CS, WR), элемент DD3)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2068 мкс на выводе P1.6 (таймер 1).</w:t>
      </w:r>
    </w:p>
    <w:p>
      <w:pPr>
        <w:pStyle w:val="Figure"/>
      </w:pPr>
      <w:r>
        <w:drawing>
          <wp:inline>
            <wp:extent cx="5939999" cy="263482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634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1.10.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1.6.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±10 %), на входе цепи питания — электролитический конденсатор 470 мкФ (C4, К50-35 16 В 470 мкФ), рисунок 1.11.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8165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81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1.11.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Num"/>
      </w:pPr>
      <w:r>
        <w:t xml:space="preserve">Таблица А.1</w:t>
      </w:r>
    </w:p>
    <w:p>
      <w:pPr>
        <w:pStyle w:val="TableCaption"/>
      </w:pPr>
      <w:r>
        <w:t xml:space="preserve">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C1, C2</w:t>
            </w:r>
          </w:p>
        </w:tc>
        <w:tc>
          <w:tcPr/>
          <w:p>
            <w:pPr>
              <w:pStyle w:val="Compact"/>
            </w:pPr>
            <w:r>
              <w:t xml:space="preserve">К10-17Б 30 пФ ±10 %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К50-35 16 В 10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16 В 470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C16–C18</w:t>
            </w:r>
          </w:p>
        </w:tc>
        <w:tc>
          <w:tcPr/>
          <w:p>
            <w:pPr>
              <w:pStyle w:val="Compact"/>
            </w:pPr>
            <w:r>
              <w:t xml:space="preserve">К10-17Б 220 нФ ±10 %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DD4, DD5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элемента 3И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Повторитель с тремя состояниями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8Кx8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Индикатор 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R2–R4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R5–R7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R8–R15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Кнопка 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VD1–VD4</w:t>
            </w:r>
          </w:p>
        </w:tc>
        <w:tc>
          <w:tcPr/>
          <w:p>
            <w:pPr>
              <w:pStyle w:val="Compact"/>
            </w:pPr>
            <w:r>
              <w:t xml:space="preserve">Диод КД521А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Розетка 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Розетка PBS-10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Розетка 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11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Резонатор кварцевый 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Б.1. Схема электрическая принципиальная (группа А-08-23, вариант 12,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2026-10-06T17:43:27Z</dcterms:created>
  <dcterms:modified xsi:type="dcterms:W3CDTF">2026-10-06T17:43:27Z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