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Друговская Е.М.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А-09-23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09.10.26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Ключанский А.А.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3, группа А-09-23),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Разрабатываемая система собрана на микроконтроллере AT89S53: она принимает поток отсчётов X2 от внешнего устройства, накапливает их в кольцевом буфере на двухпортовом ОЗУ IDT7005 и по каждому отсчёту выдаёт результат Y2 = (12 + X1 + X2) mod 256 в выходной регистр со стробом. Число X1 оператор набирает на клавиатуре 3×4 (три столбца, четыре строки — нечётный вариант), введённый символ на время T3 = 2430 мс показывается на семисегментном индикаторе с общим анодом. Клавиша «Тест» запускает строб Y1 длительностью 215 мс на выводе P1.3, строб Y2 длительностью 1899 мкс выдаётся на P1.4. Внешние устройства выбираются дешифратором 74HC138 по старшим линиям адреса: буфер — выходом Y4, индикатор — Y5, регистр Y2 — Y6, клавиатура — Y7.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3×4 и семисегментный индикатор.</w:t>
      </w:r>
    </w:p>
    <w:p>
      <w:pPr>
        <w:pStyle w:val="FirstParagraph"/>
      </w:pPr>
      <w:r>
        <w:t xml:space="preserve">Функциональная схема (рисунок 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</w:t>
      </w:r>
    </w:p>
    <w:p>
      <w:pPr>
        <w:pStyle w:val="TableCaption"/>
      </w:pPr>
      <w:r>
        <w:t xml:space="preserve">Таблица 1 — 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215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1899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215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2,430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1899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44h, «хвост» 46h; флаги пустоты 20h.3 и переполнения 21h.4;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3. Тактовая частота задаётся кварцевым резонатором ZQ1 на 12 МГц; машинный цикл МК равен 12 периодам генератора, т. е. 1 мкс. Конденсаторы C2, C3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89516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89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микропроцессорного устройства</w:t>
      </w:r>
    </w:p>
    <w:p>
      <w:pPr>
        <w:pStyle w:val="BodyText"/>
      </w:pPr>
      <w:r>
        <w:t xml:space="preserve">Сброс МК выполняется RC-цепью C1–R1: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100 кОм · 1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Дешифратор адреса внешних устройств</w:t>
      </w:r>
    </w:p>
    <w:p>
      <w:pPr>
        <w:pStyle w:val="TableCaption"/>
      </w:pPr>
      <w:r>
        <w:t xml:space="preserve">Таблица 2 — 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3, карта адресного пространства — в таблице 4.</w:t>
      </w:r>
    </w:p>
    <w:p>
      <w:pPr>
        <w:pStyle w:val="TableCaption"/>
      </w:pPr>
      <w:r>
        <w:t xml:space="preserve">Таблица 3 — 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4 — 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Буфер (IDT7005) (Y4)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Индикатор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Регистр Y2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Клавиатура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 Разработка панели управления</w:t>
      </w:r>
    </w:p>
    <w:p>
      <w:pPr>
        <w:pStyle w:val="FirstParagraph"/>
      </w:pPr>
      <w:r>
        <w:t xml:space="preserve">Клавиатура (рисунок 5) — матрица 3×4 из 12 кнопок. Столбцы Col1…Col3 задаются 4-разрядным регистром DD1 (74HC173), который записывается по адресу клавиатуры; сброс регистра подключён к RST, поэтому после включения все столбцы в нуле. Строки Row1…Row4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37093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37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(R2–R5) и соединена со входом через резистор R2 = 10 кОм (R6–R9); конденсатор C (C16–C19)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50 В (C16–C19)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5.</w:t>
      </w:r>
    </w:p>
    <w:p>
      <w:pPr>
        <w:pStyle w:val="TableCaption"/>
      </w:pPr>
      <w:r>
        <w:t xml:space="preserve">Таблица 5 — 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6) — семисегментный FYS-5612BX с общим анодом — сегмент горит при низком уровне на выходе регистра.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895999" cy="253829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999" cy="253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(R10–R17,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6.</w:t>
      </w:r>
    </w:p>
    <w:p>
      <w:pPr>
        <w:pStyle w:val="TableCaption"/>
      </w:pPr>
      <w:r>
        <w:t xml:space="preserve">Таблица 6 — 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7). Объём буфера по варианту V = 1530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1530), в схеме подключены все 13 адресных входов A0–A12, буфер занимает ячейки 8000h–85F9h окна Y4.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Буфер обеспечивает независимый доступ внешнего устройства (ТЗ, разд. 2.1, п. 6): порты ОЗУ работают одновременно и не мешают друг другу. Левый порт целиком отдан МК: адрес A0–A12 с шины, данные D0–D7 — шина P0, выбор CE — выход Y4 дешифратора (CS_buf), OE — RD, R/W — WR; через него МК и читает отсчёты из кольца, и записывает их туда (процедура доступа к буферу, табл. 1 ТЗ). Правый порт целиком выведен на отдельный разъём доступа к буферу (ТЗ, разд. 2.1, п. 9): адрес A0R–A12R, данные I/O0R–I/O7R и строб записи низкого уровня, который подаётся на R/W правого порта; CE правого порта подключён к общему проводу, OE — к питанию (порт только пишет). Внешнее устройство выставляет адрес ячейки обмена 9FFFh,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строб; тот же строб поступает на вход прерывания INT1 МК. Прерывание срабатывает по спаду строба, а ОЗУ запоминает байт по его фронту, поэтому обработчик сначала дожидается конца строба (вывод прерывания снова в 1) и только потом читает ячейку обмена через левый порт и кладёт отсчёт в кольцо 8000h–85F9h процедурой записи, сдвигая указатель «голова» и обновляя флаги пустоты и переполнения. Указатели и флаги целиком ведёт МК.</w:t>
      </w:r>
    </w:p>
    <w:p>
      <w:pPr>
        <w:pStyle w:val="Figure"/>
      </w:pPr>
      <w:r>
        <w:drawing>
          <wp:inline>
            <wp:extent cx="4967999" cy="416183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999" cy="416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Подключение кольцевого буфера</w:t>
      </w:r>
    </w:p>
    <w:p>
      <w:pPr>
        <w:pStyle w:val="BodyText"/>
      </w:pPr>
      <w:r>
        <w:t xml:space="preserve">Отсчёт X2 попадает в микроконтроллер в два этапа. Сначала внешнее устройство через отдельный разъём доступа к буферу само выставляет на правом порту IDT7005 адрес ячейки обмена 9FFFh (последняя ячейка окна буфера, вне кольца) и байт X2 и даёт строб записи — микроконтроллер в этом не участвует. Тот же строб заведён на вход INT1 (P3.3): прерывание срабатывает по спаду, а ОЗУ фиксирует байт по фронту, поэтому обработчик сначала дожидается, пока P3.3 вернётся в единицу, и только потом читает ячейку 9FFFh через левый порт. Прочитанный отсчёт процедура записи кладёт в кольцо 8000h–85F9h (1530 байт) по адресу «головы» и сдвигает её; если кольцо уже заполнено, вперёд уходит и «хвост», самый старый отсчёт теряется и ставится флаг переполнения. Основная программа забирает отсчёты по «хвосту» тем же левым портом и по ним вычисляет и выдаёт Y2. «Голова», «хвост» и флаги пустоты и переполнения хранятся во внутренней памяти микроконтроллера (44h–47h, биты 20h.3 и 21h.4), и меняет их только программа.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8 и 9; параметры — по документации AT89S53 для кварца 12 МГц [1] (таблица 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Caption"/>
      </w:pPr>
      <w:r>
        <w:t xml:space="preserve">Таблица 7 — 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8). Время, которое МК даёт ОЗУ, получено из параметров таблицы 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Caption"/>
      </w:pPr>
      <w:r>
        <w:t xml:space="preserve">Таблица 8 — 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По таблице сравнения видно, что IDT7005 намного быстрее, чем требует шина AT89S53 при кварце 12 МГц: памяти нужно 55 нс от адреса до данных и 40 нс на импульс записи, а микроконтроллер отводит на это около 500 и 400 нс. Поэтому буфер подключается к шине напрямую, без тактов ожидания, а запас в сотни наносекунд с избытком покрывает задержки защёлки адреса и дешифратора.</w:t>
      </w:r>
    </w:p>
    <w:bookmarkEnd w:id="40"/>
    <w:bookmarkStart w:id="44" w:name="Xbe4e45f6fef73311d865db210a104418b844c3a"/>
    <w:p>
      <w:pPr>
        <w:pStyle w:val="Heading2"/>
      </w:pPr>
      <w:r>
        <w:t xml:space="preserve">1.5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215 мс на выводе P1.3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(9 + 3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DD8 (74AC573, рисунок 10), выбираемый выходом Y6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1899 мкс на выводе P1.4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 50 В), на входе цепи питания — электролитический конденсатор 470 мкФ (C4, К50-35 470 мкФ ±20 % 16 В), рисунок 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2694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2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Caption"/>
      </w:pPr>
      <w:r>
        <w:t xml:space="preserve">Таблица А.1 — 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К10-17Б 1 мкФ ±10 % 50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C2, C3</w:t>
            </w:r>
          </w:p>
        </w:tc>
        <w:tc>
          <w:tcPr/>
          <w:p>
            <w:pPr>
              <w:pStyle w:val="Compact"/>
            </w:pPr>
            <w:r>
              <w:t xml:space="preserve">К10-17Б 30 пФ ±10 % 50 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К50-35 470 мкФ ±20 % 16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 50 В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C16–C19</w:t>
            </w:r>
          </w:p>
        </w:tc>
        <w:tc>
          <w:tcPr/>
          <w:p>
            <w:pPr>
              <w:pStyle w:val="Compact"/>
            </w:pPr>
            <w:r>
              <w:t xml:space="preserve">К10-17Б 220 нФ ±10 % 50 В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элемента 4И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Буферный формирователь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8К×8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Индикатор, 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R2–R5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R6–R9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R10–R17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VD1–VD3</w:t>
            </w:r>
          </w:p>
        </w:tc>
        <w:tc>
          <w:tcPr/>
          <w:p>
            <w:pPr>
              <w:pStyle w:val="Compact"/>
            </w:pPr>
            <w:r>
              <w:t xml:space="preserve">КД521А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11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PBS-23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23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Кварцевый</w:t>
            </w: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Б.1 — Схема электрическая принципиальная (группа А-09-23, вариант 3,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2026-10-09T17:58:36Z</dcterms:created>
  <dcterms:modified xsi:type="dcterms:W3CDTF">2026-10-09T17:58:36Z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