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Иванов Д.А.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5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10.10.26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5, группа А-12-23),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241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2062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241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2,590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2062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20h.5 и переполнения 22h.1;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1654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1654), в схеме подключены все 13 адресных входов A0–A12, буфер занимает ячейки 0A000h–0A675h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Y5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0BFFFh,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0A000h–0A675h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Подключение кольцевого буфера</w:t>
      </w:r>
    </w:p>
    <w:p>
      <w:pPr>
        <w:pStyle w:val="Fill"/>
      </w:pPr>
      <w:r>
        <w:t xml:space="preserve">✍ ДОПИШИ (p1.buffer в students/…/pz/): своими словами проследи путь одного отсчёта X2: разъём → ячейка обмена → прерывание → кольцо → чтение МК → Y2 (кто выставляет адрес, какой строб, кто двигает «голову» и «хвост»). 3–5 предложений, не пересказывая абзац выше.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241 мс на выводе P1.5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+ 5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Y7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2062 мкс на выводе P1.6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10.10.26).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А-12-23, вариант 5,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2026-10-10T14:29:15Z</dcterms:created>
  <dcterms:modified xsi:type="dcterms:W3CDTF">2026-10-10T14:29:15Z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