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Иванов Д.А.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5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10.10.26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5,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этой работе я разрабатываю МПС на базе AT89S53, которая принимает команды с матричной клавиатуры 3×4 и отсчёты X2 через двухпортовую память, показывает введённые символы на семисегментном индикаторе и формирует выходные сигналы Y1 и Y2. Для моего варианта кольцевой буфер рассчитан на 1654 байта, Y1 выдаётся на P1.5 на 241 мс, а Y2 сопровождается стробом на P1.6 длительностью 2062 мкс; его значение при X1 ≠ 0 вычисляется как (17 + X1 + X2) mod 256.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241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2062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241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2,590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2062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20h.5 и переполнения 22h.1;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Регистр Y2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1654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1654), в схеме подключены все 13 адресных входов A0–A12, буфер занимает ячейки 0A000h–0A675h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Y5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0BFFFh,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0A000h–0A675h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Подключение кольцевого буфера</w:t>
      </w:r>
    </w:p>
    <w:p>
      <w:pPr>
        <w:pStyle w:val="BodyText"/>
      </w:pPr>
      <w:r>
        <w:t xml:space="preserve">Внешнее устройство через отдельный разъём выставляет адрес ячейки 0BFFFh правого порта IDT7005, передаёт байт X2 и формирует активный нулём строб записи. Этот же строб вызывает INT1; после его окончания МК читает записанный байт через левый порт памяти и помещает его в кольцевой буфер 0A000h–0A675h. Адрес следующей записи хранится в указателе «голова», поэтому его меняет МК после записи, а «хвост» передвигается при чтении очередного отсчёта для расчёта Y2. Когда конец области достигнут, указатель возвращается к началу, а при переполнении самый старый отсчёт заменяется новым и устанавливается флаг переполнения.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видно, что IDT7005 успевает отработать обмен раньше, чем его завершает AT89S53. При чтении память формирует данные максимум за 30–55 нс, тогда как шина МК оставляет 252–495 нс; для записи запас составляет от 33 до 403 нс в зависимости от параметра. Поэтому память можно подключить напрямую: дополнительные циклы ожидания не требуются.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241 мс на выводе P1.5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+ 5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Y7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2062 мкс на выводе P1.6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А-12-23, вариант 5,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2026-10-10T14:32:55Z</dcterms:created>
  <dcterms:modified xsi:type="dcterms:W3CDTF">2026-10-10T14:32:55Z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