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20.png" ContentType="image/png"/>
  <Override PartName="/word/media/rId31.png" ContentType="image/png"/>
  <Override PartName="/word/media/rId27.png" ContentType="image/png"/>
  <Override PartName="/word/media/rId24.png" ContentType="image/png"/>
  <Override PartName="/word/media/rId17.png" ContentType="image/png"/>
  <Override PartName="/word/media/rId45.png" ContentType="image/png"/>
  <Override PartName="/word/media/rId41.png" ContentType="image/png"/>
  <Override PartName="/word/media/rId52.png" ContentType="image/png"/>
  <Override PartName="/word/media/rId1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3"/>
      </w:tblGrid>
      <w:tr>
        <w:trPr>
          <w:cantSplit/>
          <w:trHeight w:val="124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«Национальный исследовательский университет «МЭИ»</w:t>
            </w:r>
          </w:p>
        </w:tc>
      </w:tr>
      <w:tr>
        <w:trPr>
          <w:cantSplit/>
          <w:trHeight w:val="238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КУРСОВАЯ  РАБОТА</w:t>
            </w:r>
          </w:p>
          <w:p>
            <w:pPr>
              <w:spacing w:before="113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 курсу "Микропроцессорные системы"</w:t>
            </w: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36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Проектирование микропроцессорной системы на базе МК i8051</w:t>
            </w:r>
          </w:p>
          <w:p>
            <w:pPr>
              <w:spacing w:before="34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Аппаратная часть</w:t>
            </w:r>
          </w:p>
        </w:tc>
      </w:tr>
      <w:tr>
        <w:trPr>
          <w:cantSplit/>
          <w:trHeight w:val="113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81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Выполнил: Рязанцев И.В.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Группа: А-12-23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Вариант: 17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09.10.26</w:t>
            </w:r>
          </w:p>
        </w:tc>
      </w:tr>
      <w:tr>
        <w:trPr>
          <w:cantSplit/>
          <w:trHeight w:val="90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Проверил: Михалин С.Н.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>
        <w:trPr>
          <w:cantSplit/>
          <w:trHeight w:val="2438" w:hRule="exact"/>
        </w:trPr>
        <w:tc>
          <w:tcPr>
            <w:tcW w:w="9923" w:type="dxa"/>
            <w:vAlign w:val="bottom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ВВЕДЕНИЕ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 Разработка аппаратной части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1.1 Разработка структурной и функциональной схем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1.2 Разработка микропроцессорного устройства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1.3 Разработка панели управления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1.4 Разработка двухпортового буфера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1.5 Разработка интерфейсных устройств ввода-вывода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1.6 Повышение помехоустойчивости МПС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СПИСОК ЛИТЕРАТУРЫ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Перечень элементов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Б. Схема электрическая принципиальная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17</w:t>
            </w:r>
          </w:p>
        </w:tc>
      </w:tr>
    </w:tbl>
    <w:bookmarkStart w:id="9" w:name="введение"/>
    <w:p>
      <w:pPr>
        <w:pStyle w:val="Heading1"/>
      </w:pPr>
      <w:r>
        <w:br w:type="page"/>
      </w:r>
      <w:r>
        <w:t xml:space="preserve">ВВЕДЕНИЕ</w:t>
      </w:r>
    </w:p>
    <w:p>
      <w:pPr>
        <w:pStyle w:val="FirstParagraph"/>
      </w:pPr>
      <w:r>
        <w:t xml:space="preserve">Целью курсовой работы является приобретение навыков разработки микропроцессорных систем (МПС) и оформления документации на примере проектирования системы управления объектом. 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</w:t>
      </w:r>
    </w:p>
    <w:p>
      <w:pPr>
        <w:pStyle w:val="BodyText"/>
      </w:pPr>
      <w:r>
        <w:t xml:space="preserve">В качестве основы для построения МПС выбран микроконтроллер (МК) семейства MCS-51 — AT89S53, который реализует задачи микропроцессорного модуля. Оперативную память образуют внутреннее ОЗУ МК и внешнее двухпортовое статическое ОЗУ IDT7005, в котором организуется кольцевой буфер. Постоянная память и контроллер прерываний — внутренние узлы МК. Устройства ввода-вывода — выводы портов МК, второй порт буфера и 8-разрядный выходной регистр. Пульт управления — матричная клавиатура и семисегментный индикатор.</w:t>
      </w:r>
    </w:p>
    <w:p>
      <w:pPr>
        <w:pStyle w:val="BodyText"/>
      </w:pPr>
      <w:r>
        <w:t xml:space="preserve">В работе в соответствии с ЕСКД разработаны структурная, функциональная и принципиальная электрические схемы МПС (вариант 17, группа А-12-23), выполнены расчёты элементов сопряжения и построены временные диаграммы обмена МК с буфером.</w:t>
      </w:r>
    </w:p>
    <w:p>
      <w:pPr>
        <w:pStyle w:val="BodyText"/>
      </w:pPr>
      <w:r>
        <w:t xml:space="preserve">В курсовой работе разрабатывается микропроцессорная система на однокристальной ЭВМ AT89S53, которая принимает отсчёты X2 от внешнего устройства, складывает их в кольцевой буфер на двухпортовом ОЗУ IDT7005 и по ним вычисляет выходную величину Y2. Оператор работает с системой через матричную клавиатуру 3×4 (вариант нечётный, поэтому три столбца и четыре строки) и семисегментный индикатор FYS-5612BX с общим анодом. В моём варианте (группа А-12, M = 17) буфер занимает 1774 байта, Y2 считается как (29 + X1 + X2) mod 256 и выдаётся в регистр со стробом длительностью 2422 мкс на P1.4, а строб Y1 длительностью 361 мс формируется на P1.3. Все внешние устройства выбираются через дешифратор 74HC138, который включается сигналом CS_EN с вывода P3.4.</w:t>
      </w:r>
    </w:p>
    <w:bookmarkEnd w:id="9"/>
    <w:bookmarkStart w:id="49" w:name="разработка-аппаратной-части"/>
    <w:p>
      <w:pPr>
        <w:pStyle w:val="Heading1"/>
      </w:pPr>
      <w:r>
        <w:br w:type="page"/>
      </w:r>
      <w:r>
        <w:t xml:space="preserve">1 Разработка аппаратной части</w:t>
      </w:r>
    </w:p>
    <w:bookmarkStart w:id="16" w:name="Xe1ea72b8e7b3d2e9de7baaa92f31fae36de88a3"/>
    <w:p>
      <w:pPr>
        <w:pStyle w:val="Heading2"/>
      </w:pPr>
      <w:r>
        <w:t xml:space="preserve">1.1 Разработка структурной и функциональной схем</w:t>
      </w:r>
    </w:p>
    <w:p>
      <w:pPr>
        <w:pStyle w:val="FirstParagraph"/>
      </w:pPr>
      <w:r>
        <w:t xml:space="preserve">Структурная схема МПС (рисунок 1) задана техническим заданием и состоит из микропроцессорного модуля MPM, оперативного и постоянного запоминающих устройств RAM и ROM, устройств ввода-вывода IOU (входные сигналы</w:t>
      </w:r>
      <w:r>
        <w:t xml:space="preserve"> </w:t>
      </w:r>
      <w:r>
        <w:rPr>
          <w:i/>
          <w:iCs/>
        </w:rPr>
        <w:t xml:space="preserve">X</w:t>
      </w:r>
      <w:r>
        <w:t xml:space="preserve">, выходные</w:t>
      </w:r>
      <w:r>
        <w:t xml:space="preserve"> </w:t>
      </w:r>
      <w:r>
        <w:rPr>
          <w:i/>
          <w:iCs/>
        </w:rPr>
        <w:t xml:space="preserve">Y</w:t>
      </w:r>
      <w:r>
        <w:t xml:space="preserve">), контроллера прерываний IC и пульта управления CPAN, соединённых общей шиной.</w:t>
      </w:r>
    </w:p>
    <w:p>
      <w:pPr>
        <w:pStyle w:val="Figure"/>
      </w:pPr>
      <w:r>
        <w:drawing>
          <wp:inline>
            <wp:extent cx="5399999" cy="242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ru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Структурная схема МПС</w:t>
      </w:r>
    </w:p>
    <w:p>
      <w:pPr>
        <w:pStyle w:val="Compact"/>
        <w:numPr>
          <w:ilvl w:val="0"/>
          <w:numId w:val="1001"/>
        </w:numPr>
      </w:pPr>
      <w:r>
        <w:t xml:space="preserve">MPM — микроконтроллер AT89S53, 12 МГц, выполняет программу управления;</w:t>
      </w:r>
    </w:p>
    <w:p>
      <w:pPr>
        <w:pStyle w:val="Compact"/>
        <w:numPr>
          <w:ilvl w:val="0"/>
          <w:numId w:val="1001"/>
        </w:numPr>
      </w:pPr>
      <w:r>
        <w:t xml:space="preserve">RAM — внутреннее ОЗУ МК (переменные, указатели и флаги буфера, стек) и внешнее двухпортовое ОЗУ IDT7005 (кольцевой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ROM — внутренняя флэш-память программ МК (12 Кбайт);</w:t>
      </w:r>
    </w:p>
    <w:p>
      <w:pPr>
        <w:pStyle w:val="Compact"/>
        <w:numPr>
          <w:ilvl w:val="0"/>
          <w:numId w:val="1001"/>
        </w:numPr>
      </w:pPr>
      <w:r>
        <w:t xml:space="preserve">IC — система прерываний МК: INT0 (клавиатура), INT1 (строб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таймеры 0 и 1;</w:t>
      </w:r>
    </w:p>
    <w:p>
      <w:pPr>
        <w:pStyle w:val="Compact"/>
        <w:numPr>
          <w:ilvl w:val="0"/>
          <w:numId w:val="1001"/>
        </w:numPr>
      </w:pPr>
      <w:r>
        <w:t xml:space="preserve">IOU — выводы портов МК (стробы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), второй порт буфера (ввод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выходной регистр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CPAN — матричная клавиатура 3×4 и семисегментный индикатор.</w:t>
      </w:r>
    </w:p>
    <w:p>
      <w:pPr>
        <w:pStyle w:val="FirstParagraph"/>
      </w:pPr>
      <w:r>
        <w:t xml:space="preserve">Функциональная схема (рисунок 2) показывает, какими микросхемами реализованы блоки и как они связаны. Младший байт адреса и данные передаются по порту P0 и фиксируются защёлкой DD3 по сигналу ALE; старшие разряды адреса выдаёт порт P2. Три старших разряда A13–A15 поступают на дешифратор DD4, выходы которого Y0…Y7 — сигналы выбора (CS) внешних устройств; дешифратор работает только при CS_EN = P3.4 = 1.</w:t>
      </w:r>
    </w:p>
    <w:p>
      <w:pPr>
        <w:pStyle w:val="Figure"/>
      </w:pPr>
      <w:r>
        <w:drawing>
          <wp:inline>
            <wp:extent cx="5759999" cy="440470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u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0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Функциональная схема МПС</w:t>
      </w:r>
    </w:p>
    <w:p>
      <w:pPr>
        <w:pStyle w:val="BodyText"/>
      </w:pPr>
      <w:r>
        <w:t xml:space="preserve">Распределение ресурсов микроконтроллера приведено в таблице 1.</w:t>
      </w:r>
    </w:p>
    <w:p>
      <w:pPr>
        <w:pStyle w:val="TableCaption"/>
      </w:pPr>
      <w:r>
        <w:t xml:space="preserve">Таблица 1 — Распределение ресурсов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мультиплексированная шина: младший байт адреса A0–A7 / данные D0–D7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P2.0–P2.4</w:t>
            </w:r>
          </w:p>
        </w:tc>
        <w:tc>
          <w:tcPr/>
          <w:p>
            <w:pPr>
              <w:pStyle w:val="Compact"/>
            </w:pPr>
            <w:r>
              <w:t xml:space="preserve">адрес A8–A12 (буфер 8 Кбайт — 13 разрядов)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P2.5–P2.7</w:t>
            </w:r>
          </w:p>
        </w:tc>
        <w:tc>
          <w:tcPr/>
          <w:p>
            <w:pPr>
              <w:pStyle w:val="Compact"/>
            </w:pPr>
            <w:r>
              <w:t xml:space="preserve">адрес A13–A15 — входы A0–A2 дешифратора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(активный 0), 361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строб сопровождения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(активный 0), 2422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 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P3.6, P3.7</w:t>
            </w:r>
          </w:p>
        </w:tc>
        <w:tc>
          <w:tcPr/>
          <w:p>
            <w:pPr>
              <w:pStyle w:val="Compact"/>
            </w:pPr>
            <w:r>
              <w:t xml:space="preserve">WR, RD — стробы записи и чтения внешней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0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361 мс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= 3,190 с (тик 1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1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2422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ОЗУ</w:t>
            </w:r>
          </w:p>
        </w:tc>
        <w:tc>
          <w:tcPr/>
          <w:p>
            <w:pPr>
              <w:pStyle w:val="Compact"/>
            </w:pPr>
            <w:r>
              <w:t xml:space="preserve">указатели буфера «голова» 47h, «хвост» 49h; флаги пустоты 22h.1 и переполнения 23h.5; стек с 08h</w:t>
            </w:r>
          </w:p>
        </w:tc>
      </w:tr>
    </w:tbl>
    <w:bookmarkEnd w:id="16"/>
    <w:bookmarkStart w:id="23" w:name="разработка-микропроцессорного-устройства"/>
    <w:p>
      <w:pPr>
        <w:pStyle w:val="Heading2"/>
      </w:pPr>
      <w:r>
        <w:t xml:space="preserve">1.2 Разработка микропроцессорного устройства</w:t>
      </w:r>
    </w:p>
    <w:p>
      <w:pPr>
        <w:pStyle w:val="FirstParagraph"/>
      </w:pPr>
      <w:r>
        <w:t xml:space="preserve">Схема микропроцессорного устройства приведена на рисунке 3. Тактовая частота задаётся кварцевым резонатором ZQ1 на 12 МГц; машинный цикл МК равен 12 периодам генератора, т. е. 1 мкс. Конденсаторы C2, C3 выбраны по рекомендации производителя МК (30 пФ ± 10 пФ) [1].</w:t>
      </w:r>
    </w:p>
    <w:p>
      <w:pPr>
        <w:pStyle w:val="Figure"/>
      </w:pPr>
      <w:r>
        <w:drawing>
          <wp:inline>
            <wp:extent cx="5651999" cy="3895161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h-mc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895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— Схема микропроцессорного устройства</w:t>
      </w:r>
    </w:p>
    <w:p>
      <w:pPr>
        <w:pStyle w:val="BodyText"/>
      </w:pPr>
      <w:r>
        <w:t xml:space="preserve">Сброс МК выполняется RC-цепью C1–R1: при включении питания конденсатор заряжается через резистор, и на входе RST держится высокий уровень. По документации [1] для сброса достаточно высокого уровня на RST в течение двух машинных циклов при работающем генераторе. Постоянная времени цепи:</w:t>
      </w:r>
    </w:p>
    <w:p>
      <w:pPr>
        <w:pStyle w:val="Center"/>
      </w:pPr>
      <w:r>
        <w:t xml:space="preserve">τ = R · C = 100 кОм · 1 мкФ = 100 мс</w:t>
      </w:r>
    </w:p>
    <w:p>
      <w:pPr>
        <w:pStyle w:val="BodyText"/>
      </w:pPr>
      <w:r>
        <w:t xml:space="preserve">что многократно превышает 2 мкс и время запуска кварцевого генератора, поэтому сброс надёжен. Вывод EA подключён к +5 В — программа выполняется из внутренней памяти; PSEN не используется.</w:t>
      </w:r>
    </w:p>
    <w:p>
      <w:pPr>
        <w:pStyle w:val="BodyText"/>
      </w:pPr>
      <w:r>
        <w:t xml:space="preserve">Защёлка DD3 (74AC573) фиксирует младший байт адреса с порта P0 по спаду ALE; дальше по P0 передаются данные. Выбор внешних устройств выполняет дешифратор DD4 (74HC138, рисунок 4): на входы A0–A2 поданы разряды адреса A13–A15, входы Ē0 и Ē1 соединены с общим проводом, вход E2 — с выводом CS_EN (P3.4). Номер выхода дешифратора для каждого устройства задан вариантом (таблица 2).</w:t>
      </w:r>
    </w:p>
    <w:p>
      <w:pPr>
        <w:pStyle w:val="Figure"/>
      </w:pPr>
      <w:r>
        <w:drawing>
          <wp:inline>
            <wp:extent cx="1439999" cy="17420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h-de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74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— Дешифратор адреса внешних устройств</w:t>
      </w:r>
    </w:p>
    <w:p>
      <w:pPr>
        <w:pStyle w:val="TableCaption"/>
      </w:pPr>
      <w:r>
        <w:t xml:space="preserve">Таблица 2 — Назначение выходов дешифратора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Окно адресов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Регистр адреса правого порта (A0–A7)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Регистр адреса правого порта (A8–A12)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BodyText"/>
      </w:pPr>
      <w:r>
        <w:t xml:space="preserve">Назначение выводов микроконтроллера приведено в таблице 3, карта адресного пространства — в таблице 4.</w:t>
      </w:r>
    </w:p>
    <w:p>
      <w:pPr>
        <w:pStyle w:val="TableCaption"/>
      </w:pPr>
      <w:r>
        <w:t xml:space="preserve">Таблица 3 — Назначение выводов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708"/>
        <w:gridCol w:w="427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P1.0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строб Y1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строб Y2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сброс (RC-цепь)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P3.0 (RXD)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P3.1 (TXD)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 X2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P3.4 (T0)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P3.5 (T1)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P3.6 (WR)</w:t>
            </w:r>
          </w:p>
        </w:tc>
        <w:tc>
          <w:tcPr/>
          <w:p>
            <w:pPr>
              <w:pStyle w:val="Compact"/>
            </w:pPr>
            <w:r>
              <w:t xml:space="preserve">строб записи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P3.7 (RD)</w:t>
            </w:r>
          </w:p>
        </w:tc>
        <w:tc>
          <w:tcPr/>
          <w:p>
            <w:pPr>
              <w:pStyle w:val="Compact"/>
            </w:pPr>
            <w:r>
              <w:t xml:space="preserve">строб чтения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XTAL2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XTAL1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общий провод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P2.0</w:t>
            </w:r>
          </w:p>
        </w:tc>
        <w:tc>
          <w:tcPr/>
          <w:p>
            <w:pPr>
              <w:pStyle w:val="Compact"/>
            </w:pPr>
            <w:r>
              <w:t xml:space="preserve">адрес A8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адрес A9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адрес A10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адрес A11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адрес A12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адрес A13 → дешифратор, вход A0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адрес A14 → дешифратор, вход A1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адрес A15 → дешифратор, вход A2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PSEN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(программа во внутренней памяти)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t xml:space="preserve">строб защёлки младшего байта адреса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подключён к +5 В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P0.7</w:t>
            </w:r>
          </w:p>
        </w:tc>
        <w:tc>
          <w:tcPr/>
          <w:p>
            <w:pPr>
              <w:pStyle w:val="Compact"/>
            </w:pPr>
            <w:r>
              <w:t xml:space="preserve">адрес A7 / данные D7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P0.6</w:t>
            </w:r>
          </w:p>
        </w:tc>
        <w:tc>
          <w:tcPr/>
          <w:p>
            <w:pPr>
              <w:pStyle w:val="Compact"/>
            </w:pPr>
            <w:r>
              <w:t xml:space="preserve">адрес A6 / данные D6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P0.5</w:t>
            </w:r>
          </w:p>
        </w:tc>
        <w:tc>
          <w:tcPr/>
          <w:p>
            <w:pPr>
              <w:pStyle w:val="Compact"/>
            </w:pPr>
            <w:r>
              <w:t xml:space="preserve">адрес A5 / данные D5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P0.4</w:t>
            </w:r>
          </w:p>
        </w:tc>
        <w:tc>
          <w:tcPr/>
          <w:p>
            <w:pPr>
              <w:pStyle w:val="Compact"/>
            </w:pPr>
            <w:r>
              <w:t xml:space="preserve">адрес A4 / данные D4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P0.3</w:t>
            </w:r>
          </w:p>
        </w:tc>
        <w:tc>
          <w:tcPr/>
          <w:p>
            <w:pPr>
              <w:pStyle w:val="Compact"/>
            </w:pPr>
            <w:r>
              <w:t xml:space="preserve">адрес A3 / данные D3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P0.2</w:t>
            </w:r>
          </w:p>
        </w:tc>
        <w:tc>
          <w:tcPr/>
          <w:p>
            <w:pPr>
              <w:pStyle w:val="Compact"/>
            </w:pPr>
            <w:r>
              <w:t xml:space="preserve">адрес A2 / данные D2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P0.1</w:t>
            </w:r>
          </w:p>
        </w:tc>
        <w:tc>
          <w:tcPr/>
          <w:p>
            <w:pPr>
              <w:pStyle w:val="Compact"/>
            </w:pPr>
            <w:r>
              <w:t xml:space="preserve">адрес A1 / данные D1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P0.0</w:t>
            </w:r>
          </w:p>
        </w:tc>
        <w:tc>
          <w:tcPr/>
          <w:p>
            <w:pPr>
              <w:pStyle w:val="Compact"/>
            </w:pPr>
            <w:r>
              <w:t xml:space="preserve">адрес A0 / данные D0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питание +5 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4 — Карта адресного пространства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3182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0000h–2FFFh</w:t>
            </w:r>
          </w:p>
        </w:tc>
        <w:tc>
          <w:tcPr/>
          <w:p>
            <w:pPr>
              <w:pStyle w:val="Compact"/>
            </w:pPr>
            <w:r>
              <w:t xml:space="preserve">Память программ (внутренняя флэш, 12 Кбайт)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00h–7Fh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ОЗУ, прямая и косвенная адресация</w:t>
            </w:r>
          </w:p>
        </w:tc>
        <w:tc>
          <w:tcPr/>
          <w:p>
            <w:pPr>
              <w:pStyle w:val="Compact"/>
            </w:pPr>
            <w:r>
              <w:t xml:space="preserve">банк регистров 0, стек с 08h, биты 20h–2Fh (флаги), переменные с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80h–FFh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 (косвенная адресация) / SFR (прямая)</w:t>
            </w:r>
          </w:p>
        </w:tc>
        <w:tc>
          <w:tcPr/>
          <w:p>
            <w:pPr>
              <w:pStyle w:val="Compact"/>
            </w:pPr>
            <w:r>
              <w:t xml:space="preserve">регистры специальных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00h–1FFFh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Y0</w:t>
            </w:r>
          </w:p>
        </w:tc>
        <w:tc>
          <w:tcPr/>
          <w:p>
            <w:pPr>
              <w:pStyle w:val="Compact"/>
            </w:pPr>
            <w:r>
              <w:t xml:space="preserve">Регистр адреса правого порта (A0–A7) (Y0)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2000h–3FFFh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Y1</w:t>
            </w:r>
          </w:p>
        </w:tc>
        <w:tc>
          <w:tcPr/>
          <w:p>
            <w:pPr>
              <w:pStyle w:val="Compact"/>
            </w:pPr>
            <w:r>
              <w:t xml:space="preserve">Клавиатура (Y1)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4000h–5FFFh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Y2</w:t>
            </w:r>
          </w:p>
        </w:tc>
        <w:tc>
          <w:tcPr/>
          <w:p>
            <w:pPr>
              <w:pStyle w:val="Compact"/>
            </w:pPr>
            <w:r>
              <w:t xml:space="preserve">Регистр адреса правого порта (A8–A12) (Y2)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6000h–7FFFh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8000h–9FFFh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0A000h–0BFFFh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Y5</w:t>
            </w:r>
          </w:p>
        </w:tc>
        <w:tc>
          <w:tcPr/>
          <w:p>
            <w:pPr>
              <w:pStyle w:val="Compact"/>
            </w:pPr>
            <w:r>
              <w:t xml:space="preserve">Буфер (IDT7005) (Y5)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0C000h–0DFFFh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Y6</w:t>
            </w:r>
          </w:p>
        </w:tc>
        <w:tc>
          <w:tcPr/>
          <w:p>
            <w:pPr>
              <w:pStyle w:val="Compact"/>
            </w:pPr>
            <w:r>
              <w:t xml:space="preserve">Индикатор (Y6)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0E000h–0FFFFh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Y7</w:t>
            </w:r>
          </w:p>
        </w:tc>
        <w:tc>
          <w:tcPr/>
          <w:p>
            <w:pPr>
              <w:pStyle w:val="Compact"/>
            </w:pPr>
            <w:r>
              <w:t xml:space="preserve">Регистр Y2 (Y7)</w:t>
            </w:r>
          </w:p>
        </w:tc>
      </w:tr>
    </w:tbl>
    <w:bookmarkEnd w:id="23"/>
    <w:bookmarkStart w:id="30" w:name="разработка-панели-управления"/>
    <w:p>
      <w:pPr>
        <w:pStyle w:val="Heading2"/>
      </w:pPr>
      <w:r>
        <w:t xml:space="preserve">1.3 Разработка панели управления</w:t>
      </w:r>
    </w:p>
    <w:p>
      <w:pPr>
        <w:pStyle w:val="FirstParagraph"/>
      </w:pPr>
      <w:r>
        <w:t xml:space="preserve">Клавиатура (рисунок 5) — матрица 3×4 из 12 кнопок. Столбцы Col1…Col3 задаются 4-разрядным регистром DD1 (74HC173), который записывается по адресу клавиатуры; сброс регистра подключён к RST, поэтому после включения все столбцы в нуле. Строки Row1…Row4 через повторитель DD7 (74AC244) читаются на шину данных; элемент «И» DD6 объединяет строки и формирует сигнал прерывания INT0 при нажатии любой клавиши. Диоды КД521А в цепях столбцов исключают замыкание выходов регистра при одновременном нажатии нескольких клавиш.</w:t>
      </w:r>
    </w:p>
    <w:p>
      <w:pPr>
        <w:pStyle w:val="Figure"/>
      </w:pPr>
      <w:r>
        <w:drawing>
          <wp:inline>
            <wp:extent cx="5939999" cy="337093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h-k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370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— Схема подключения клавиатуры</w:t>
      </w:r>
    </w:p>
    <w:p>
      <w:pPr>
        <w:pStyle w:val="BodyText"/>
      </w:pPr>
      <w:r>
        <w:t xml:space="preserve">Каждая строка подтянута к питанию резистором R1 = 2 кОм (R2–R5) и соединена со входом через резистор R2 = 10 кОм (R6–R9); конденсатор C (C16–C19) вместе с R2 образует фильтр, подавляющий дребезг контактов. По методическим указаниям постоянная фильтра должна перекрывать время дребезга: 3·R2·C ≥ T</w:t>
      </w:r>
      <w:r>
        <w:rPr>
          <w:vertAlign w:val="subscript"/>
        </w:rPr>
        <w:t xml:space="preserve">др</w:t>
      </w:r>
      <w:r>
        <w:t xml:space="preserve">, где T</w:t>
      </w:r>
      <w:r>
        <w:rPr>
          <w:vertAlign w:val="subscript"/>
        </w:rPr>
        <w:t xml:space="preserve">др</w:t>
      </w:r>
      <w:r>
        <w:t xml:space="preserve"> </w:t>
      </w:r>
      <w:r>
        <w:t xml:space="preserve">= 5 мс (ТЗ). Отсюда:</w:t>
      </w:r>
    </w:p>
    <w:p>
      <w:pPr>
        <w:pStyle w:val="Center"/>
      </w:pPr>
      <w:r>
        <w:t xml:space="preserve">C ≥ T_др / (3 · R2) = 5·10⁻³ с / (3 · 10·10³ Ом) = 166,7 нФ</w:t>
      </w:r>
    </w:p>
    <w:p>
      <w:pPr>
        <w:pStyle w:val="BodyText"/>
      </w:pPr>
      <w:r>
        <w:t xml:space="preserve">Выбран конденсатор К10-17Б 220 нФ ±10 % 50 В (C16–C19) — ближайший больший номинал. Ток через нажатую кнопку:</w:t>
      </w:r>
    </w:p>
    <w:p>
      <w:pPr>
        <w:pStyle w:val="Center"/>
      </w:pPr>
      <w:r>
        <w:t xml:space="preserve">I = Vcc / R1 + Vcc / R2 = 5 В / 2 кОм + 5 В / 10 кОм = 2,5 мА + 0,5 мА = 3 мА</w:t>
      </w:r>
    </w:p>
    <w:p>
      <w:pPr>
        <w:pStyle w:val="BodyText"/>
      </w:pPr>
      <w:r>
        <w:t xml:space="preserve">Мощность, рассеиваемая резистором R1 при удержании кнопки: P = Vcc² / R1 = (5 В)² / 2 кОм = 12,5 мВт — достаточно резисторов МЛТ-0,125. Коды клавиш (табл. 3 ТЗ) и их положение в матрице приведены в таблице 5.</w:t>
      </w:r>
    </w:p>
    <w:p>
      <w:pPr>
        <w:pStyle w:val="TableCaption"/>
      </w:pPr>
      <w:r>
        <w:t xml:space="preserve">Таблица 5 — Коды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10 («Тест»)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11 («Сброс»)</w:t>
            </w:r>
          </w:p>
        </w:tc>
      </w:tr>
    </w:tbl>
    <w:p>
      <w:pPr>
        <w:pStyle w:val="BodyText"/>
      </w:pPr>
      <w:r>
        <w:t xml:space="preserve">Индикатор (рисунок 6) — семисегментный FYS-5612BX с общим анодом — сегмент горит при низком уровне на выходе регистра. Код символа записывается в регистр DD11 (74AC573), который защёлкивает его по окончании записи (Load = ИЛИ-НЕ(CS, WR), элемент DD5); выходы регистра через токоограничивающие резисторы управляют сегментами (статическая индикация: МК не тратит время на обновление).</w:t>
      </w:r>
    </w:p>
    <w:p>
      <w:pPr>
        <w:pStyle w:val="Figure"/>
      </w:pPr>
      <w:r>
        <w:drawing>
          <wp:inline>
            <wp:extent cx="4895999" cy="253829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h-in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999" cy="2538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— Схема подключения индикатора</w:t>
      </w:r>
    </w:p>
    <w:p>
      <w:pPr>
        <w:pStyle w:val="BodyText"/>
      </w:pPr>
      <w:r>
        <w:t xml:space="preserve">Сопротивление резистора сегмента (второй закон Кирхгофа, методические указания):</w:t>
      </w:r>
    </w:p>
    <w:p>
      <w:pPr>
        <w:pStyle w:val="Center"/>
      </w:pPr>
      <w:r>
        <w:t xml:space="preserve">R = (Vcc − U_VD − U_OL) / I_VD ≥ (5,25 В − 2,0 В − 0 В) / 10 мА = 325 Ом</w:t>
      </w:r>
    </w:p>
    <w:p>
      <w:pPr>
        <w:pStyle w:val="BodyText"/>
      </w:pPr>
      <w:r>
        <w:t xml:space="preserve">где Vcc = 5,25 В — напряжение питания с допуском +5 %; U</w:t>
      </w:r>
      <w:r>
        <w:rPr>
          <w:vertAlign w:val="subscript"/>
        </w:rPr>
        <w:t xml:space="preserve">VD</w:t>
      </w:r>
      <w:r>
        <w:t xml:space="preserve"> </w:t>
      </w:r>
      <w:r>
        <w:t xml:space="preserve">= 2,0 В — прямое напряжение сегмента FYS-5612 [3]; U</w:t>
      </w:r>
      <w:r>
        <w:rPr>
          <w:vertAlign w:val="subscript"/>
        </w:rPr>
        <w:t xml:space="preserve">OL</w:t>
      </w:r>
      <w:r>
        <w:t xml:space="preserve"> </w:t>
      </w:r>
      <w:r>
        <w:t xml:space="preserve">= 0 — падение на выходе регистра в худшем случае; I</w:t>
      </w:r>
      <w:r>
        <w:rPr>
          <w:vertAlign w:val="subscript"/>
        </w:rPr>
        <w:t xml:space="preserve">VD</w:t>
      </w:r>
      <w:r>
        <w:t xml:space="preserve"> </w:t>
      </w:r>
      <w:r>
        <w:t xml:space="preserve">= 10 мА — ток сегмента, не превышающий нагрузочной способности линии (ТЗ: не более 10 мА). Выбран ближайший больший номинал ряда E24 — 330 Ом (R10–R17, МЛТ-0,125 330 Ом ±5 %). Мощность резистора P = I² · R = (10 мА)² · 330 Ом = 33 мВт.</w:t>
      </w:r>
    </w:p>
    <w:p>
      <w:pPr>
        <w:pStyle w:val="BodyText"/>
      </w:pPr>
      <w:r>
        <w:t xml:space="preserve">Коды символов (табл. 2 ТЗ) приведены в таблице 6.</w:t>
      </w:r>
    </w:p>
    <w:p>
      <w:pPr>
        <w:pStyle w:val="TableCaption"/>
      </w:pPr>
      <w:r>
        <w:t xml:space="preserve">Таблица 6 — Коды символов индикатора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30"/>
    <w:bookmarkStart w:id="40" w:name="разработка-двухпортового-буфера"/>
    <w:p>
      <w:pPr>
        <w:pStyle w:val="Heading2"/>
      </w:pPr>
      <w:r>
        <w:t xml:space="preserve">1.4 Разработка двухпортового буфера</w:t>
      </w:r>
    </w:p>
    <w:p>
      <w:pPr>
        <w:pStyle w:val="FirstParagraph"/>
      </w:pPr>
      <w:r>
        <w:t xml:space="preserve">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организован во внешнем двухпортовом статическом ОЗУ IDT7005 (DD10, 8 Кбайт × 8, рисунок 7). Объём буфера по варианту V = 1774 байт; для адресации нужно 11 разрядов (2</w:t>
      </w:r>
      <w:r>
        <w:rPr>
          <w:vertAlign w:val="superscript"/>
        </w:rPr>
        <w:t xml:space="preserve">11</w:t>
      </w:r>
      <w:r>
        <w:t xml:space="preserve"> </w:t>
      </w:r>
      <w:r>
        <w:t xml:space="preserve">= 2048 ≥ 1774), в схеме подключены все 13 адресных входов A0–A12, буфер занимает ячейки 0A000h–0A6EDh окна Y5. Микросхема работает в режиме ведомой (M/S = 0), сигналы BUSY не используются.</w:t>
      </w:r>
    </w:p>
    <w:p>
      <w:pPr>
        <w:pStyle w:val="BodyText"/>
      </w:pPr>
      <w:r>
        <w:t xml:space="preserve">Буфер обеспечивает независимый доступ внешнего устройства (ТЗ, разд. 2.1, п. 6): порты ОЗУ работают одновременно и не мешают друг другу. Левый порт целиком отдан МК: адрес A0–A12 с шины, данные D0–D7 — шина P0, выбор CE — выход Y5 дешифратора (CS_buf), OE — RD, R/W — WR; через него МК и читает отсчёты из кольца, и записывает их туда (процедура доступа к буферу, табл. 1 ТЗ). Внешнее устройство передаёт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по независимой 8-разрядной шине со стробом записи низкого уровня (ТЗ, разд. 1): на отдельный разъём доступа к буферу (ТЗ, разд. 2.1, п. 9) выведены только данные I/O0R–I/O7R правого порта, строб и общий провод. Адрес правого порта A0R–A12R — текущее значение указателя «голова»: его держат два регистра 74AC573 — (A0R–A7R, выход Y0 дешифратора) и (A8R–A12R, выход Y2), которые МК записывает командой movx; сигнал записи регистра формирует элемент ИЛИ-НЕ из CS и WR, как у остальных регистров. Строб подан на CE и R/W правого порта (OE — на питание: правый порт только пишет, его выходы не открываются навстречу данным внешнего устройства): при низком уровне байт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записывается в ячейку «головы», при высоком порт не выбран. Резистор подтягивает строб к питанию, чтобы при отключённом разъёме не было ложных записей и прерываний. Тот же строб поступает на вход прерывания INT1 МК — так МК «узнаёт», что внешнему устройству понадобилась запись, и модифицирует указатели (методические указания, с. 14). Прерывание срабатывает по спаду строба, а ОЗУ запоминает байт по его фронту, поэтому обработчик сначала дожидается конца строба (вывод прерывания снова в 1), затем сдвигает «голову» по кольцу 0A000h–0A6EDh (при заполненном буфере вместе с ней сдвигается «хвост» — самый старый отсчёт перезаписан, ставится флаг переполнения), сбрасывает флаг пустоты и записывает новую «голову» в регистры адреса. Указатели и флаги целиком ведёт МК.</w:t>
      </w:r>
    </w:p>
    <w:p>
      <w:pPr>
        <w:pStyle w:val="Figure"/>
      </w:pPr>
      <w:r>
        <w:drawing>
          <wp:inline>
            <wp:extent cx="4967999" cy="416183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h-id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999" cy="4161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— Подключение кольцевого буфера</w:t>
      </w:r>
    </w:p>
    <w:p>
      <w:pPr>
        <w:pStyle w:val="BodyText"/>
      </w:pPr>
      <w:r>
        <w:t xml:space="preserve">Проследим один отсчёт X2. Внешнее устройство знает только свои данные: оно выставляет байт X2 на разъёме доступа к буферу и опускает строб записи. Адрес правому порту IDT7005 в это время уже даёт пара регистров — в них лежит текущая «голова» кольца 0A000h–0A6EDh, которую туда заранее записал микроконтроллер, — поэтому байт сразу попадает в нужную ячейку кольца. Тот же строб приходит на INT1; обработчик дожидается его окончания, сдвигает «голову» (если кольцо было заполнено, вместе с ней сдвигается «хвост» и ставится флаг переполнения), снимает флаг пустоты и записывает новую «голову» в регистры адреса. Основная программа читает отсчёты по «хвосту» через левый порт и считает по ним Y2; оба указателя и оба флага живут во внутренней памяти МК.</w:t>
      </w:r>
    </w:p>
    <w:p>
      <w:pPr>
        <w:pStyle w:val="BodyText"/>
      </w:pPr>
      <w:r>
        <w:t xml:space="preserve">Временные диаграммы обмена МК с буфером (чтение и запись командами movx) приведены на рисунках 8 и 9; параметры — по документации AT89S53 для кварца 12 МГц [1] (таблица 7).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rea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— Временная диаграмма чтения из буфера (movx A,</w:t>
      </w:r>
      <w:r>
        <w:t xml:space="preserve"> </w:t>
      </w:r>
      <w:r>
        <w:t xml:space="preserve">@DPTR</w:t>
      </w:r>
      <w:r>
        <w:t xml:space="preserve">)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wr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— Временная диаграмма записи в буфер (movx</w:t>
      </w:r>
      <w:r>
        <w:t xml:space="preserve"> </w:t>
      </w:r>
      <w:r>
        <w:t xml:space="preserve">@DPTR</w:t>
      </w:r>
      <w:r>
        <w:t xml:space="preserve">, A)</w:t>
      </w:r>
    </w:p>
    <w:p>
      <w:pPr>
        <w:pStyle w:val="TableCaption"/>
      </w:pPr>
      <w:r>
        <w:t xml:space="preserve">Таблица 7 — Временные параметры шины AT89S53 при 12 МГц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действителен до спада ALE</w:t>
            </w:r>
          </w:p>
        </w:tc>
        <w:tc>
          <w:tcPr/>
          <w:p>
            <w:pPr>
              <w:pStyle w:val="Compact"/>
            </w:pPr>
            <w:r>
              <w:t xml:space="preserve">tAVLL</w:t>
            </w:r>
          </w:p>
        </w:tc>
        <w:tc>
          <w:tcPr/>
          <w:p>
            <w:pPr>
              <w:pStyle w:val="Compact"/>
            </w:pPr>
            <w:r>
              <w:t xml:space="preserve">≥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адреса после спада ALE</w:t>
            </w:r>
          </w:p>
        </w:tc>
        <w:tc>
          <w:tcPr/>
          <w:p>
            <w:pPr>
              <w:pStyle w:val="Compact"/>
            </w:pPr>
            <w:r>
              <w:t xml:space="preserve">tLLAX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ALE — спад RD/WR</w:t>
            </w:r>
          </w:p>
        </w:tc>
        <w:tc>
          <w:tcPr/>
          <w:p>
            <w:pPr>
              <w:pStyle w:val="Compact"/>
            </w:pPr>
            <w:r>
              <w:t xml:space="preserve">tLLWL</w:t>
            </w:r>
          </w:p>
        </w:tc>
        <w:tc>
          <w:tcPr/>
          <w:p>
            <w:pPr>
              <w:pStyle w:val="Compact"/>
            </w:pPr>
            <w:r>
              <w:t xml:space="preserve">200…300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RD</w:t>
            </w:r>
          </w:p>
        </w:tc>
        <w:tc>
          <w:tcPr/>
          <w:p>
            <w:pPr>
              <w:pStyle w:val="Compact"/>
            </w:pPr>
            <w:r>
              <w:t xml:space="preserve">tRLRH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RD — данные действительны</w:t>
            </w:r>
          </w:p>
        </w:tc>
        <w:tc>
          <w:tcPr/>
          <w:p>
            <w:pPr>
              <w:pStyle w:val="Compact"/>
            </w:pPr>
            <w:r>
              <w:t xml:space="preserve">tRLDV</w:t>
            </w:r>
          </w:p>
        </w:tc>
        <w:tc>
          <w:tcPr/>
          <w:p>
            <w:pPr>
              <w:pStyle w:val="Compact"/>
            </w:pPr>
            <w:r>
              <w:t xml:space="preserve">≤ 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RD</w:t>
            </w:r>
          </w:p>
        </w:tc>
        <w:tc>
          <w:tcPr/>
          <w:p>
            <w:pPr>
              <w:pStyle w:val="Compact"/>
            </w:pPr>
            <w:r>
              <w:t xml:space="preserve">tRHDX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WR</w:t>
            </w:r>
          </w:p>
        </w:tc>
        <w:tc>
          <w:tcPr/>
          <w:p>
            <w:pPr>
              <w:pStyle w:val="Compact"/>
            </w:pPr>
            <w:r>
              <w:t xml:space="preserve">tWLWH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действительны до фронта WR</w:t>
            </w:r>
          </w:p>
        </w:tc>
        <w:tc>
          <w:tcPr/>
          <w:p>
            <w:pPr>
              <w:pStyle w:val="Compact"/>
            </w:pPr>
            <w:r>
              <w:t xml:space="preserve">tQVWH</w:t>
            </w:r>
          </w:p>
        </w:tc>
        <w:tc>
          <w:tcPr/>
          <w:p>
            <w:pPr>
              <w:pStyle w:val="Compact"/>
            </w:pPr>
            <w:r>
              <w:t xml:space="preserve">≥ 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WR</w:t>
            </w:r>
          </w:p>
        </w:tc>
        <w:tc>
          <w:tcPr/>
          <w:p>
            <w:pPr>
              <w:pStyle w:val="Compact"/>
            </w:pPr>
            <w:r>
              <w:t xml:space="preserve">tWHQX</w:t>
            </w:r>
          </w:p>
        </w:tc>
        <w:tc>
          <w:tcPr/>
          <w:p>
            <w:pPr>
              <w:pStyle w:val="Compact"/>
            </w:pPr>
            <w:r>
              <w:t xml:space="preserve">≥ 33</w:t>
            </w:r>
          </w:p>
        </w:tc>
      </w:tr>
    </w:tbl>
    <w:p>
      <w:pPr>
        <w:pStyle w:val="BodyText"/>
      </w:pPr>
      <w:r>
        <w:t xml:space="preserve">Требования ОЗУ IDT7005S55 к сигналам шины [2] сопоставлены с тем, что обеспечивает МК при 12 МГц (таблица 8). Время, которое МК даёт ОЗУ, получено из параметров таблицы 7: адрес выставляется не позже чем за tAVLL + tLLWL = 43 + 200 = 243 нс до спада RD/WR, данные при чтении МК принимает через tRLDV = 252 нс после спада RD.</w:t>
      </w:r>
    </w:p>
    <w:p>
      <w:pPr>
        <w:pStyle w:val="TableCaption"/>
      </w:pPr>
      <w:r>
        <w:t xml:space="preserve">Таблица 8 — Сравнение времён шины МК и IDT7005S55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Требование ОЗУ [2]</w:t>
            </w:r>
          </w:p>
        </w:tc>
        <w:tc>
          <w:tcPr/>
          <w:p>
            <w:pPr>
              <w:pStyle w:val="Compact"/>
            </w:pPr>
            <w:r>
              <w:t xml:space="preserve">Обеспечивает МК</w:t>
            </w:r>
          </w:p>
        </w:tc>
        <w:tc>
          <w:tcPr/>
          <w:p>
            <w:pPr>
              <w:pStyle w:val="Compact"/>
            </w:pPr>
            <w:r>
              <w:t xml:space="preserve">Запас,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OE</w:t>
            </w:r>
          </w:p>
        </w:tc>
        <w:tc>
          <w:tcPr/>
          <w:p>
            <w:pPr>
              <w:pStyle w:val="Compact"/>
            </w:pPr>
            <w:r>
              <w:t xml:space="preserve">tAOE ≤ 30 нс</w:t>
            </w:r>
          </w:p>
        </w:tc>
        <w:tc>
          <w:tcPr/>
          <w:p>
            <w:pPr>
              <w:pStyle w:val="Compact"/>
            </w:pPr>
            <w:r>
              <w:t xml:space="preserve">tRLDV = 252 нс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адреса</w:t>
            </w:r>
          </w:p>
        </w:tc>
        <w:tc>
          <w:tcPr/>
          <w:p>
            <w:pPr>
              <w:pStyle w:val="Compact"/>
            </w:pPr>
            <w:r>
              <w:t xml:space="preserve">tAA ≤ 55 нс</w:t>
            </w:r>
          </w:p>
        </w:tc>
        <w:tc>
          <w:tcPr/>
          <w:p>
            <w:pPr>
              <w:pStyle w:val="Compact"/>
            </w:pPr>
            <w:r>
              <w:t xml:space="preserve">243 + 252 = 495 нс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длительность импульса</w:t>
            </w:r>
          </w:p>
        </w:tc>
        <w:tc>
          <w:tcPr/>
          <w:p>
            <w:pPr>
              <w:pStyle w:val="Compact"/>
            </w:pPr>
            <w:r>
              <w:t xml:space="preserve">tWP ≥ 40 нс</w:t>
            </w:r>
          </w:p>
        </w:tc>
        <w:tc>
          <w:tcPr/>
          <w:p>
            <w:pPr>
              <w:pStyle w:val="Compact"/>
            </w:pPr>
            <w:r>
              <w:t xml:space="preserve">tWLWH ≥ 400 нс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данные до конца записи</w:t>
            </w:r>
          </w:p>
        </w:tc>
        <w:tc>
          <w:tcPr/>
          <w:p>
            <w:pPr>
              <w:pStyle w:val="Compact"/>
            </w:pPr>
            <w:r>
              <w:t xml:space="preserve">tDW ≥ 30 нс</w:t>
            </w:r>
          </w:p>
        </w:tc>
        <w:tc>
          <w:tcPr/>
          <w:p>
            <w:pPr>
              <w:pStyle w:val="Compact"/>
            </w:pPr>
            <w:r>
              <w:t xml:space="preserve">tQVWH ≥ 433 нс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удержание данных</w:t>
            </w:r>
          </w:p>
        </w:tc>
        <w:tc>
          <w:tcPr/>
          <w:p>
            <w:pPr>
              <w:pStyle w:val="Compact"/>
            </w:pPr>
            <w:r>
              <w:t xml:space="preserve">tDH ≥ 0</w:t>
            </w:r>
          </w:p>
        </w:tc>
        <w:tc>
          <w:tcPr/>
          <w:p>
            <w:pPr>
              <w:pStyle w:val="Compact"/>
            </w:pPr>
            <w:r>
              <w:t xml:space="preserve">tWHQX ≥ 33 нс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адрес до начала записи</w:t>
            </w:r>
          </w:p>
        </w:tc>
        <w:tc>
          <w:tcPr/>
          <w:p>
            <w:pPr>
              <w:pStyle w:val="Compact"/>
            </w:pPr>
            <w:r>
              <w:t xml:space="preserve">tAS ≥ 0</w:t>
            </w:r>
          </w:p>
        </w:tc>
        <w:tc>
          <w:tcPr/>
          <w:p>
            <w:pPr>
              <w:pStyle w:val="Compact"/>
            </w:pPr>
            <w:r>
              <w:t xml:space="preserve">tAVLL + tLLWL ≥ 243 нс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</w:tbl>
    <w:p>
      <w:pPr>
        <w:pStyle w:val="BodyText"/>
      </w:pPr>
      <w:r>
        <w:t xml:space="preserve">По таблице сравнения видно, что IDT7005S55 заметно быстрее шины AT89S53 на 12 МГц: при чтении ОЗУ выдаёт данные за 30–55 нс, а МК ждёт их сотни наносекунд, при записи импульс WR (не меньше 400 нс) почти в десять раз длиннее требуемых 40 нс. Самый маленький запас — у удержания данных после фронта WR (33 нс при требовании не меньше нуля), но и он положительный. Поэтому буфер я подключаю к шине напрямую, без тактов ожидания и дополнительной логики.</w:t>
      </w:r>
    </w:p>
    <w:bookmarkEnd w:id="40"/>
    <w:bookmarkStart w:id="44" w:name="Xbe4e45f6fef73311d865db210a104418b844c3a"/>
    <w:p>
      <w:pPr>
        <w:pStyle w:val="Heading2"/>
      </w:pPr>
      <w:r>
        <w:t xml:space="preserve">1.5 Разработка интерфейсных устройств ввода-вывода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вводится с клавиатуры (подраздел 1.3), 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через второй порт буфера (подраздел 1.4).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программно формируемый строб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= 361 мс на выводе P1.3 (отсчёт — таймер 0).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(12 + 17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 (иначе 0) записывается в 8-разрядный регистр DD8 (74AC573, рисунок 10), выбираемый выходом Y7 дешифратора; регистр защёлкивает данные по окончании записи (Load = ИЛИ-НЕ(CS, WR), элемент DD5) и держит предыдущее значение до новой записи. Каждая запись сопровождается стробом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= 2422 мкс на выводе P1.4 (таймер 1).</w:t>
      </w:r>
    </w:p>
    <w:p>
      <w:pPr>
        <w:pStyle w:val="Figure"/>
      </w:pPr>
      <w:r>
        <w:drawing>
          <wp:inline>
            <wp:extent cx="5939999" cy="242571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h-y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42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— Выходной регистр Y2 и разъёмы</w:t>
      </w:r>
    </w:p>
    <w:p>
      <w:pPr>
        <w:pStyle w:val="BodyText"/>
      </w:pPr>
      <w:r>
        <w:t xml:space="preserve">Все выходы МК нагружены только входами микросхем КМОП (единицы микроампер), поэтому ограничение ТЗ на нагрузку линии порта (не более 10 мА) выполняется с большим запасом.</w:t>
      </w:r>
    </w:p>
    <w:bookmarkEnd w:id="44"/>
    <w:bookmarkStart w:id="48" w:name="повышение-помехоустойчивости-мпс"/>
    <w:p>
      <w:pPr>
        <w:pStyle w:val="Heading2"/>
      </w:pPr>
      <w:r>
        <w:t xml:space="preserve">1.6 Повышение помехоустойчивости МПС</w:t>
      </w:r>
    </w:p>
    <w:p>
      <w:pPr>
        <w:pStyle w:val="FirstParagraph"/>
      </w:pPr>
      <w:r>
        <w:t xml:space="preserve">По ТЗ (п. 2.1, пункт 10) у выводов питания каждого корпуса микросхем установлен керамический конденсатор 33 нФ (C5–C15, К10-17Б 33 нФ ±10 % 50 В), на входе цепи питания — электролитический конденсатор 470 мкФ (C4, К50-35 470 мкФ ±20 % 16 В), рисунок 11. Керамические конденсаторы подавляют высокочастотные импульсные помехи при переключении КМОП-микросхем, электролитический — низкочастотные пульсации источника.</w:t>
      </w:r>
    </w:p>
    <w:p>
      <w:pPr>
        <w:pStyle w:val="Figure"/>
      </w:pPr>
      <w:r>
        <w:drawing>
          <wp:inline>
            <wp:extent cx="5939999" cy="92694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h-po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926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— Цепь питания и фильтрующие конденсаторы</w:t>
      </w:r>
    </w:p>
    <w:bookmarkEnd w:id="48"/>
    <w:bookmarkEnd w:id="49"/>
    <w:bookmarkStart w:id="50" w:name="список-литературы"/>
    <w:p>
      <w:pPr>
        <w:pStyle w:val="Heading1"/>
      </w:pPr>
      <w:r>
        <w:br w:type="page"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AT89S53. 8-bit Microcontroller with 12K Bytes Flash : datasheet. — Текст : электронный // Microchip Technology (Atmel) : [сайт]. — URL: https://www.microchip.com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IDT7005S/L. High-Speed 8K x 8 Dual-Port Static RAM : datasheet. — Текст : электронный // Renesas Electronics (IDT) : [сайт]. — URL: https://www.renesas.com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FYS-5612AX / FYS-5612BX. 0.56” Single Digit Numeric Display : datasheet. — Текст : электронный // Foryard Optoelectronics : [сайт]. — URL: https://www.foryard.com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SN74HC138. 3-Line to 8-Line Decoders/Demultiplexers : datasheet. — Текст : электронный // Texas Instruments : [сайт]. — URL: https://www.ti.com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74AC573. Octal D-Type Latch with 3-STATE Outputs : datasheet. — Текст : электронный // onsemi : [сайт]. — URL: https://www.onsemi.com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74HC173. Quad D-type flip-flop; positive-edge trigger; 3-state : datasheet. — Текст : электронный // Nexperia : [сайт]. — URL: https://www.nexperia.com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IN74AC244. Octal 3-State Noninverting Buffer/Line Driver : datasheet. — Текст : электронный // ОАО «Интеграл» : [сайт]. — URL: https://www.integral.by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Техническое задание к курсовой работе по дисциплине «Микропроцессорные системы». — М. : НИУ «МЭИ», 2026. — 12 с.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курсовой работе по дисциплине «Микропроцессорные системы». — М. : НИУ «МЭИ», 2026. — 16 с.</w:t>
      </w:r>
    </w:p>
    <w:bookmarkEnd w:id="50"/>
    <w:bookmarkStart w:id="5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Перечень элементов</w:t>
      </w:r>
    </w:p>
    <w:p>
      <w:pPr>
        <w:pStyle w:val="TableCaption"/>
      </w:pPr>
      <w:r>
        <w:t xml:space="preserve">Таблица А.1 — Перечень элементов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4569"/>
        <w:gridCol w:w="522"/>
        <w:gridCol w:w="1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Поз.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Конденсаторы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К10-17Б 1 мкФ ±10 % 50 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C2, C3</w:t>
            </w:r>
          </w:p>
        </w:tc>
        <w:tc>
          <w:tcPr/>
          <w:p>
            <w:pPr>
              <w:pStyle w:val="Compact"/>
            </w:pPr>
            <w:r>
              <w:t xml:space="preserve">К10-17Б 30 пФ ±10 % 50 В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К50-35 470 мкФ ±20 % 16 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C5–C15</w:t>
            </w:r>
          </w:p>
        </w:tc>
        <w:tc>
          <w:tcPr/>
          <w:p>
            <w:pPr>
              <w:pStyle w:val="Compact"/>
            </w:pPr>
            <w:r>
              <w:t xml:space="preserve">К10-17Б 33 нФ ±10 % 50 В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C16–C19</w:t>
            </w:r>
          </w:p>
        </w:tc>
        <w:tc>
          <w:tcPr/>
          <w:p>
            <w:pPr>
              <w:pStyle w:val="Compact"/>
            </w:pPr>
            <w:r>
              <w:t xml:space="preserve">К10-17Б 220 нФ ±10 % 50 В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Микросхемы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DD1</w:t>
            </w:r>
          </w:p>
        </w:tc>
        <w:tc>
          <w:tcPr/>
          <w:p>
            <w:pPr>
              <w:pStyle w:val="Compact"/>
            </w:pPr>
            <w:r>
              <w:t xml:space="preserve">74HC173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4-разрядный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</w:t>
            </w:r>
          </w:p>
        </w:tc>
        <w:tc>
          <w:tcPr/>
          <w:p>
            <w:pPr>
              <w:pStyle w:val="Compact"/>
            </w:pPr>
            <w:r>
              <w:t xml:space="preserve">AT89S53-24PU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DD3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DD4</w:t>
            </w:r>
          </w:p>
        </w:tc>
        <w:tc>
          <w:tcPr/>
          <w:p>
            <w:pPr>
              <w:pStyle w:val="Compact"/>
            </w:pPr>
            <w:r>
              <w:t xml:space="preserve">74HC138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Дешифратор 3 на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DD5</w:t>
            </w:r>
          </w:p>
        </w:tc>
        <w:tc>
          <w:tcPr/>
          <w:p>
            <w:pPr>
              <w:pStyle w:val="Compact"/>
            </w:pPr>
            <w:r>
              <w:t xml:space="preserve">74HC02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2ИЛИ-НЕ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DD6</w:t>
            </w:r>
          </w:p>
        </w:tc>
        <w:tc>
          <w:tcPr/>
          <w:p>
            <w:pPr>
              <w:pStyle w:val="Compact"/>
            </w:pPr>
            <w:r>
              <w:t xml:space="preserve">74HC21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элемента 4И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DD7</w:t>
            </w:r>
          </w:p>
        </w:tc>
        <w:tc>
          <w:tcPr/>
          <w:p>
            <w:pPr>
              <w:pStyle w:val="Compact"/>
            </w:pPr>
            <w:r>
              <w:t xml:space="preserve">IN74AC244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Буферный формирователь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DD8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DD9</w:t>
            </w:r>
          </w:p>
        </w:tc>
        <w:tc>
          <w:tcPr/>
          <w:p>
            <w:pPr>
              <w:pStyle w:val="Compact"/>
            </w:pPr>
            <w:r>
              <w:t xml:space="preserve">74HC32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DD10</w:t>
            </w:r>
          </w:p>
        </w:tc>
        <w:tc>
          <w:tcPr/>
          <w:p>
            <w:pPr>
              <w:pStyle w:val="Compact"/>
            </w:pPr>
            <w:r>
              <w:t xml:space="preserve">IDT7005S55PF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Двухпортовое ОЗУ 8К×8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DD11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Индикаторы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HG1</w:t>
            </w:r>
          </w:p>
        </w:tc>
        <w:tc>
          <w:tcPr/>
          <w:p>
            <w:pPr>
              <w:pStyle w:val="Compact"/>
            </w:pPr>
            <w:r>
              <w:t xml:space="preserve">FYS-5612BX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Индикатор, общий анод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Резисторы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МЛТ-0,125 100 кОм ±5 %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R2–R5</w:t>
            </w:r>
          </w:p>
        </w:tc>
        <w:tc>
          <w:tcPr/>
          <w:p>
            <w:pPr>
              <w:pStyle w:val="Compact"/>
            </w:pPr>
            <w:r>
              <w:t xml:space="preserve">МЛТ-0,125 2 кОм ±5 %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R6–R9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R10–R17</w:t>
            </w:r>
          </w:p>
        </w:tc>
        <w:tc>
          <w:tcPr/>
          <w:p>
            <w:pPr>
              <w:pStyle w:val="Compact"/>
            </w:pPr>
            <w:r>
              <w:t xml:space="preserve">МЛТ-0,125 330 Ом ±5 %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SB1–SB12</w:t>
            </w:r>
          </w:p>
        </w:tc>
        <w:tc>
          <w:tcPr/>
          <w:p>
            <w:pPr>
              <w:pStyle w:val="Compact"/>
            </w:pPr>
            <w:r>
              <w:t xml:space="preserve">DTSM-62N-V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VD1–VD3</w:t>
            </w:r>
          </w:p>
        </w:tc>
        <w:tc>
          <w:tcPr/>
          <w:p>
            <w:pPr>
              <w:pStyle w:val="Compact"/>
            </w:pPr>
            <w:r>
              <w:t xml:space="preserve">КД521А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Разъёмы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XS1</w:t>
            </w:r>
          </w:p>
        </w:tc>
        <w:tc>
          <w:tcPr/>
          <w:p>
            <w:pPr>
              <w:pStyle w:val="Compact"/>
            </w:pPr>
            <w:r>
              <w:t xml:space="preserve">PBS-2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2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XS2</w:t>
            </w:r>
          </w:p>
        </w:tc>
        <w:tc>
          <w:tcPr/>
          <w:p>
            <w:pPr>
              <w:pStyle w:val="Compact"/>
            </w:pPr>
            <w:r>
              <w:t xml:space="preserve">PBS-11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11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XS3</w:t>
            </w:r>
          </w:p>
        </w:tc>
        <w:tc>
          <w:tcPr/>
          <w:p>
            <w:pPr>
              <w:pStyle w:val="Compact"/>
            </w:pPr>
            <w:r>
              <w:t xml:space="preserve">PBS-23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23 конт.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Резонаторы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ZQ1</w:t>
            </w:r>
          </w:p>
        </w:tc>
        <w:tc>
          <w:tcPr/>
          <w:p>
            <w:pPr>
              <w:pStyle w:val="Compact"/>
            </w:pPr>
            <w:r>
              <w:t xml:space="preserve">HC-49S 12 МГц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Кварцевый</w:t>
            </w:r>
          </w:p>
        </w:tc>
      </w:tr>
    </w:tbl>
    <w:bookmarkEnd w:id="51"/>
    <w:bookmarkStart w:id="55" w:name="приложение-б"/>
    <w:p>
      <w:pPr>
        <w:pStyle w:val="Heading1"/>
      </w:pPr>
      <w:r>
        <w:br w:type="page"/>
      </w:r>
      <w:r>
        <w:t xml:space="preserve">ПРИЛОЖЕНИЕ Б</w:t>
      </w:r>
    </w:p>
    <w:p>
      <w:pPr>
        <w:pStyle w:val="Center"/>
      </w:pPr>
      <w:r>
        <w:rPr>
          <w:b/>
          <w:bCs/>
        </w:rPr>
        <w:t xml:space="preserve">Схема электрическая принципиальная</w:t>
      </w:r>
    </w:p>
    <w:p>
      <w:pPr>
        <w:pStyle w:val="Figure"/>
      </w:pPr>
      <w:r>
        <w:drawing>
          <wp:inline>
            <wp:extent cx="5219999" cy="738210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7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Б.1 — Схема электрическая принципиальная (группа А-12-23, вариант 17, Э3)</w:t>
      </w:r>
    </w:p>
    <w:bookmarkEnd w:id="55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8"/>
      <w:szCs w:val="18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708"/>
      <w:jc w:val="left"/>
      <w:outlineLvl w:val="0"/>
    </w:pPr>
    <w:rPr>
      <w:rFonts w:ascii="Times New Roman" w:cs="Times New Roman" w:eastAsia="Times New Roman" w:hAnsi="Times New Roman"/>
      <w:b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2026-10-14T09:25:30Z</dcterms:created>
  <dcterms:modified xsi:type="dcterms:W3CDTF">2026-10-14T09:25:30Z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