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Рязанцев И.В.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А-12-23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17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14.10.26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Михалин С.Н.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18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17, группа А-12-23),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В курсовой работе разрабатывается микропроцессорная система на однокристальной ЭВМ AT89S53, которая принимает отсчёты X2 от внешнего устройства, складывает их в кольцевой буфер на двухпортовом ОЗУ IDT7005 и по ним вычисляет выходную величину Y2. Оператор работает с системой через матричную клавиатуру 3×4 (вариант нечётный, поэтому три столбца и четыре строки) и семисегментный индикатор FYS-5612BX с общим анодом. В моём варианте (группа А-12, M = 17) буфер занимает 1774 байта, Y2 считается как (29 + X1 + X2) mod 256 и выдаётся в регистр со стробом длительностью 2422 мкс на P1.4, а строб Y1 длительностью 361 мс формируется на P1.3. Все внешние устройства выбираются через дешифратор 74HC138, который включается сигналом CS_EN с вывода P3.4.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3×4 и семисегментный индикатор.</w:t>
      </w:r>
    </w:p>
    <w:p>
      <w:pPr>
        <w:pStyle w:val="FirstParagraph"/>
      </w:pPr>
      <w:r>
        <w:t xml:space="preserve">Функциональная схема (рисунок 2) показывает, какими микросхемами реализованы блоки и как они связаны. Младший байт адреса и данные передаются по порту P0 и фиксируются защёлкой DD3 по сигналу ALE; старшие разряды адреса выдаёт порт P2. Три старших разряда A13–A15 поступают на дешифратор DD4,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</w:t>
      </w:r>
    </w:p>
    <w:p>
      <w:pPr>
        <w:pStyle w:val="TableCaption"/>
      </w:pPr>
      <w:r>
        <w:t xml:space="preserve">Таблица 1 — 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361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2422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361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3,190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2422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47h, «хвост» 49h; флаги пустоты 22h.1 и переполнения 23h.5;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3. Тактовая частота задаётся кварцевым резонатором ZQ1 на 12 МГц; машинный цикл МК равен 12 периодам генератора, т. е. 1 мкс. Конденсаторы C2, C3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89516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89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микропроцессорного устройства</w:t>
      </w:r>
    </w:p>
    <w:p>
      <w:pPr>
        <w:pStyle w:val="BodyText"/>
      </w:pPr>
      <w:r>
        <w:t xml:space="preserve">Сброс МК выполняется RC-цепью C1–R1: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100 кОм · 1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DD3 (74AC573) фиксирует младший байт адреса с порта P0 по спаду ALE; дальше по P0 передаются данные. Выбор внешних устройств выполняет дешифратор DD4 (74HC138, рисунок 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Дешифратор адреса внешних устройств</w:t>
      </w:r>
    </w:p>
    <w:p>
      <w:pPr>
        <w:pStyle w:val="TableCaption"/>
      </w:pPr>
      <w:r>
        <w:t xml:space="preserve">Таблица 2 — 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3, карта адресного пространства — в таблице 4.</w:t>
      </w:r>
    </w:p>
    <w:p>
      <w:pPr>
        <w:pStyle w:val="TableCaption"/>
      </w:pPr>
      <w:r>
        <w:t xml:space="preserve">Таблица 3 — 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4 — 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Клавиатура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Буфер (IDT7005)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Индикатор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Регистр Y2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 Разработка панели управления</w:t>
      </w:r>
    </w:p>
    <w:p>
      <w:pPr>
        <w:pStyle w:val="FirstParagraph"/>
      </w:pPr>
      <w:r>
        <w:t xml:space="preserve">Клавиатура (рисунок 5) — матрица 3×4 из 12 кнопок. Столбцы Col1…Col3 задаются 4-разрядным регистром DD1 (74HC173), который записывается по адресу клавиатуры; сброс регистра подключён к RST, поэтому после включения все столбцы в нуле. Строки Row1…Row4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24340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243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(R2–R5) и соединена со входом через резистор R2 = 10 кОм (R6–R9); конденсатор C (C18–C21)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50 В (C18–C21)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5.</w:t>
      </w:r>
    </w:p>
    <w:p>
      <w:pPr>
        <w:pStyle w:val="TableCaption"/>
      </w:pPr>
      <w:r>
        <w:t xml:space="preserve">Таблица 5 — 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6) — семисегментный FYS-5612BX с общим анодом — сегмент горит при низком уровне на выходе регистра. Код символа записывается в регистр DD13 (74AC573), который защёлкивает его по окончании записи (Load = ИЛИ-НЕ(CS, WR), элемент DD5);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5723999" cy="355734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3557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(R11–R18,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6.</w:t>
      </w:r>
    </w:p>
    <w:p>
      <w:pPr>
        <w:pStyle w:val="TableCaption"/>
      </w:pPr>
      <w:r>
        <w:t xml:space="preserve">Таблица 6 — 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(DD10, 8 Кбайт × 8, рисунок 7). Объём буфера по варианту V = 1774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1774), буфер занимает ячейки 0A000h–0A6EDh окна Y5.</w:t>
      </w:r>
    </w:p>
    <w:p>
      <w:pPr>
        <w:pStyle w:val="BodyText"/>
      </w:pPr>
      <w:r>
        <w:t xml:space="preserve">Буфером управляет МК: оба порта ОЗУ выбираются одним сигналом CS_buf (выход Y5 дешифратора) и получают один и тот же адрес с шины МК (схема размещения в методических указаниях, прил. А). По ТЗ (разд. 2.1, п. 6) слева выполняется только чтение, справа — только запись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: у левого порта OE ← RD, R/W = 1, данные — шина D0–D7 МК; у правого порта R/W ← WR, OE = 1, данные I/O0R–I/O7R — с отдельного разъёма доступа к буферу (ТЗ, разд. 2.1, п. 9), куда внешнее устройство выставляет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строб записи. Строб поступает на вход прерывания INT1; обработчик выполняет movx-запись по адресу «головы», и в цикле записи правый порт заносит в ячейку байт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с разъёма (содержимое аккумулятора при этом не важно), затем сдвигает «голову» по кольцу 0A000h–0A6EDh и обновляет флаги пустоты и переполнения. Читает отсчёты МК через левый порт по адресу «хвоста». Используются 11 младших адресных линий (V = 1774 ≤ 2048), старшие адресные входы обоих портов подключены к общему проводу. Микросхема одна, поэтому она включена ведущей (M/S = 1): выходы BUSY и INT не используются и никуда не подключены, на питание заведены только входы (R/W левого порта, OE правого, SEM).</w:t>
      </w:r>
    </w:p>
    <w:p>
      <w:pPr>
        <w:pStyle w:val="Figure"/>
      </w:pPr>
      <w:r>
        <w:drawing>
          <wp:inline>
            <wp:extent cx="4463999" cy="668088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999" cy="6680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Подключение кольцевого буфера</w:t>
      </w:r>
    </w:p>
    <w:p>
      <w:pPr>
        <w:pStyle w:val="BodyText"/>
      </w:pPr>
      <w:r>
        <w:t xml:space="preserve">Проследим один отсчёт X2. Внешнее устройство выставляет байт на разъёме доступа к буферу и опускает строб — он приходит на INT1. Буфером управляет микроконтроллер: в обработчике он ставит в DPTR адрес «головы» и выполняет movx-запись; оба порта IDT7005 выбраны одним CS_buf и видят один и тот же адрес, но левый порт только читает, а правый по сигналу WR заносит в ячейку байт с разъёма — содержимое аккумулятора тут не важно. После записи МК сдвигает «голову» по кольцу 0A000h–0A6EDh (если кольцо было заполнено, вместе с ней сдвигается «хвост» и ставится флаг переполнения) и снимает флаг пустоты. Основная программа читает отсчёты левым портом по «хвосту» и считает по ним Y2; указатели и флаги живут только во внутренней памяти МК.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8 и 9; параметры — по документации AT89S53 для кварца 12 МГц [1] (таблица 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Caption"/>
      </w:pPr>
      <w:r>
        <w:t xml:space="preserve">Таблица 7 — 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8). Время, которое МК даёт ОЗУ, получено из параметров таблицы 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Caption"/>
      </w:pPr>
      <w:r>
        <w:t xml:space="preserve">Таблица 8 — 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tQVWH ≥ 433 нс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tWHQX ≥ 33 нс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По таблице сравнения видно, что IDT7005S55 заметно быстрее шины AT89S53 на 12 МГц: при чтении ОЗУ выдаёт данные за 30–55 нс, а МК ждёт их сотни наносекунд, при записи импульс WR (не меньше 400 нс) почти в десять раз длиннее требуемых 40 нс. Самый маленький запас — у удержания данных после фронта WR (33 нс при требовании не меньше нуля), но и он положительный. Поэтому буфер я подключаю к шине напрямую, без тактов ожидания и дополнительной логики.</w:t>
      </w:r>
    </w:p>
    <w:bookmarkEnd w:id="40"/>
    <w:bookmarkStart w:id="44" w:name="Xbe4e45f6fef73311d865db210a104418b844c3a"/>
    <w:p>
      <w:pPr>
        <w:pStyle w:val="Heading2"/>
      </w:pPr>
      <w:r>
        <w:t xml:space="preserve">1.5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361 мс на выводе P1.3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+ 17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DD8 (74AC573, рисунок 10), выбираемый выходом Y7 дешифратора; регистр защёлкивает данные по окончании записи (Load = ИЛИ-НЕ(CS, WR), элемент DD5)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2422 мкс на выводе P1.4 (таймер 1).</w:t>
      </w:r>
    </w:p>
    <w:p>
      <w:pPr>
        <w:pStyle w:val="Figure"/>
      </w:pPr>
      <w:r>
        <w:drawing>
          <wp:inline>
            <wp:extent cx="5939999" cy="194547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1945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(C5–C17, К10-17Б 33 нФ ±10 % 50 В), на входе цепи питания — электролитический конденсатор 470 мкФ (C4, К50-35 470 мкФ ±20 % 16 В), рисунок 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2694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2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14.10.26).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14.10.26).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14.10.26).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14.10.26).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14.10.26).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14.10.26).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14.10.26).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Caption"/>
      </w:pPr>
      <w:r>
        <w:t xml:space="preserve">Таблица А.1 — 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К10-17Б 1 мкФ ±10 % 50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C2, C3</w:t>
            </w:r>
          </w:p>
        </w:tc>
        <w:tc>
          <w:tcPr/>
          <w:p>
            <w:pPr>
              <w:pStyle w:val="Compact"/>
            </w:pPr>
            <w:r>
              <w:t xml:space="preserve">К10-17Б 30 пФ ±10 % 50 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К50-35 470 мкФ ±20 % 16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C5–C17</w:t>
            </w:r>
          </w:p>
        </w:tc>
        <w:tc>
          <w:tcPr/>
          <w:p>
            <w:pPr>
              <w:pStyle w:val="Compact"/>
            </w:pPr>
            <w:r>
              <w:t xml:space="preserve">К10-17Б 33 нФ ±10 % 50 В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C18–C21</w:t>
            </w:r>
          </w:p>
        </w:tc>
        <w:tc>
          <w:tcPr/>
          <w:p>
            <w:pPr>
              <w:pStyle w:val="Compact"/>
            </w:pPr>
            <w:r>
              <w:t xml:space="preserve">К10-17Б 220 нФ ±10 % 50 В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DD5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элемента 4И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Буферный формирователь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8К×8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DD11–DD13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Индикатор, 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R2–R5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R6–R10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R11–R18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VD1–VD3</w:t>
            </w:r>
          </w:p>
        </w:tc>
        <w:tc>
          <w:tcPr/>
          <w:p>
            <w:pPr>
              <w:pStyle w:val="Compact"/>
            </w:pPr>
            <w:r>
              <w:t xml:space="preserve">КД521А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PBS-10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10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11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Кварцевый</w:t>
            </w: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Б.1 — Схема электрическая принципиальная (группа А-12-23, вариант 17,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2026-10-19T11:00:37Z</dcterms:created>
  <dcterms:modified xsi:type="dcterms:W3CDTF">2026-10-19T11:00:37Z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