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Судьбинин Н.А.</w:t>
            </w:r>
          </w:p>
          <w:p>
            <w:pPr>
              <w:spacing w:before="56" w:after="0"/>
              <w:ind w:left="5386" w:firstLine="0"/>
              <w:jc w:val="left"/>
              <w:rPr>
                <w:sz w:val="28"/>
              </w:rPr>
            </w:pPr>
            <w:r>
              <w:rPr>
                <w:sz w:val="28"/>
              </w:rPr>
              <w:t xml:space="preserve">Группа: Аэ-21-23</w:t>
            </w:r>
          </w:p>
          <w:p>
            <w:pPr>
              <w:spacing w:before="56" w:after="0"/>
              <w:ind w:left="5386" w:firstLine="0"/>
              <w:jc w:val="left"/>
              <w:rPr>
                <w:sz w:val="28"/>
              </w:rPr>
            </w:pPr>
            <w:r>
              <w:rPr>
                <w:sz w:val="28"/>
              </w:rPr>
              <w:t xml:space="preserve">Вариант: 11</w:t>
            </w:r>
          </w:p>
          <w:p>
            <w:pPr>
              <w:spacing w:before="56" w:after="0"/>
              <w:ind w:left="5386" w:firstLine="0"/>
              <w:jc w:val="left"/>
              <w:rPr>
                <w:sz w:val="28"/>
              </w:rPr>
            </w:pPr>
            <w:r>
              <w:rPr>
                <w:sz w:val="28"/>
              </w:rPr>
              <w:t xml:space="preserve">Дата: 30.10.26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Михалин С.Н.</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13</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15</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17</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11, группа Аэ-21-23), выполнены расчёты элементов сопряжения и построены временные диаграммы обмена МК с буфером.</w:t>
      </w:r>
    </w:p>
    <w:p>
      <w:pPr>
        <w:pStyle w:val="BodyText"/>
      </w:pPr>
      <w:r>
        <w:t xml:space="preserve">Разрабатываемая система на микроконтроллере AT89S53 принимает от внешнего устройства поток восьмиразрядных отсчётов X2, складывает их в кольцевой буфер на двухпортовой памяти IDT7005, а с пульта получает цифру X1 и по ним выдаёт на выходной регистр сигнал Y2 = (21 + 11 + X1 + X2) mod 256 со стробом длительностью 1751 мкс на выводе P1.5. Кроме этого, клавишей «Тест» формируется строб Y1 на P1.4 длительностью 313 мс, а нажатый символ держится на индикаторе 2,745 с. Особенности моего варианта (Аэ-21, M = 11): клавиатура 3×4 (три столбца, четыре строки), индикатор с общим катодом, буфер на 1910 байт выбирается выходом Y7 дешифратора 74HC138, регистр Y2 — выходом Y2, индикатор — Y1, клавиатура — Y3.</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 1.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 2.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P1.4</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313 мс</w:t>
            </w:r>
          </w:p>
        </w:tc>
      </w:tr>
      <w:tr>
        <w:tc>
          <w:tcPr/>
          <w:p>
            <w:pPr>
              <w:pStyle w:val="Compact"/>
            </w:pPr>
            <w:r>
              <w:t xml:space="preserve">P1.5</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1751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313 мс и</w:t>
            </w:r>
            <w:r>
              <w:t xml:space="preserve"> </w:t>
            </w:r>
            <w:r>
              <w:rPr>
                <w:i/>
                <w:iCs/>
              </w:rPr>
              <w:t xml:space="preserve">T</w:t>
            </w:r>
            <w:r>
              <w:rPr>
                <w:vertAlign w:val="subscript"/>
              </w:rPr>
              <w:t xml:space="preserve">3</w:t>
            </w:r>
            <w:r>
              <w:t xml:space="preserve"> </w:t>
            </w:r>
            <w:r>
              <w:t xml:space="preserve">= 2,745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1751 мкс</w:t>
            </w:r>
          </w:p>
        </w:tc>
      </w:tr>
      <w:tr>
        <w:tc>
          <w:tcPr/>
          <w:p>
            <w:pPr>
              <w:pStyle w:val="Compact"/>
            </w:pPr>
            <w:r>
              <w:t xml:space="preserve">Внутреннее ОЗУ</w:t>
            </w:r>
          </w:p>
        </w:tc>
        <w:tc>
          <w:tcPr/>
          <w:p>
            <w:pPr>
              <w:pStyle w:val="Compact"/>
            </w:pPr>
            <w:r>
              <w:t xml:space="preserve">указатели буфера «голова» 51h, «хвост» 53h; флаги пустоты 21h.3 и переполнения 24h.0;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C2, C3 выбраны по рекомендации производителя МК (30 пФ ± 10 пФ) [1].</w:t>
      </w:r>
    </w:p>
    <w:p>
      <w:pPr>
        <w:pStyle w:val="Figure"/>
      </w:pPr>
      <w:r>
        <w:drawing>
          <wp:inline>
            <wp:extent cx="5651999" cy="3895161"/>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895161"/>
                    </a:xfrm>
                    <a:prstGeom prst="rect">
                      <a:avLst/>
                    </a:prstGeom>
                    <a:noFill/>
                    <a:ln w="9525">
                      <a:noFill/>
                      <a:headEnd/>
                      <a:tailEnd/>
                    </a:ln>
                  </pic:spPr>
                </pic:pic>
              </a:graphicData>
            </a:graphic>
          </wp:inline>
        </w:drawing>
      </w:r>
    </w:p>
    <w:p>
      <w:pPr>
        <w:pStyle w:val="ImageCaption"/>
      </w:pPr>
      <w:r>
        <w:t xml:space="preserve">Рис. 3. Схема микропроцессорного устройства</w:t>
      </w:r>
    </w:p>
    <w:p>
      <w:pPr>
        <w:pStyle w:val="BodyText"/>
      </w:pPr>
      <w:r>
        <w:t xml:space="preserve">Сброс МК выполняется RC-цепью C1–R1: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20 кОм · 1 мкФ = 20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 4.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Индикатор</w:t>
            </w:r>
          </w:p>
        </w:tc>
        <w:tc>
          <w:tcPr/>
          <w:p>
            <w:pPr>
              <w:pStyle w:val="Compact"/>
            </w:pPr>
            <w:r>
              <w:t xml:space="preserve">2000h–3FFFh</w:t>
            </w:r>
          </w:p>
        </w:tc>
      </w:tr>
      <w:tr>
        <w:tc>
          <w:tcPr/>
          <w:p>
            <w:pPr>
              <w:pStyle w:val="Compact"/>
            </w:pPr>
            <w:r>
              <w:t xml:space="preserve">Y2</w:t>
            </w:r>
          </w:p>
        </w:tc>
        <w:tc>
          <w:tcPr/>
          <w:p>
            <w:pPr>
              <w:pStyle w:val="Compact"/>
            </w:pPr>
            <w:r>
              <w:t xml:space="preserve">Регистр Y2</w:t>
            </w:r>
          </w:p>
        </w:tc>
        <w:tc>
          <w:tcPr/>
          <w:p>
            <w:pPr>
              <w:pStyle w:val="Compact"/>
            </w:pPr>
            <w:r>
              <w:t xml:space="preserve">4000h–5FFFh</w:t>
            </w:r>
          </w:p>
        </w:tc>
      </w:tr>
      <w:tr>
        <w:tc>
          <w:tcPr/>
          <w:p>
            <w:pPr>
              <w:pStyle w:val="Compact"/>
            </w:pPr>
            <w:r>
              <w:t xml:space="preserve">Y3</w:t>
            </w:r>
          </w:p>
        </w:tc>
        <w:tc>
          <w:tcPr/>
          <w:p>
            <w:pPr>
              <w:pStyle w:val="Compact"/>
            </w:pPr>
            <w:r>
              <w:t xml:space="preserve">Клавиатура</w:t>
            </w:r>
          </w:p>
        </w:tc>
        <w:tc>
          <w:tcPr/>
          <w:p>
            <w:pPr>
              <w:pStyle w:val="Compact"/>
            </w:pPr>
            <w:r>
              <w:t xml:space="preserve">6000h–7FFFh</w:t>
            </w:r>
          </w:p>
        </w:tc>
      </w:tr>
      <w:tr>
        <w:tc>
          <w:tcPr/>
          <w:p>
            <w:pPr>
              <w:pStyle w:val="Compact"/>
            </w:pPr>
            <w:r>
              <w:t xml:space="preserve">Y4</w:t>
            </w:r>
          </w:p>
        </w:tc>
        <w:tc>
          <w:tcPr/>
          <w:p>
            <w:pPr>
              <w:pStyle w:val="Compact"/>
            </w:pPr>
            <w:r>
              <w:t xml:space="preserve">не используется</w:t>
            </w:r>
          </w:p>
        </w:tc>
        <w:tc>
          <w:tcPr/>
          <w:p>
            <w:pPr>
              <w:pStyle w:val="Compact"/>
            </w:pPr>
            <w:r>
              <w:t xml:space="preserve">8000h–9FFFh</w:t>
            </w:r>
          </w:p>
        </w:tc>
      </w:tr>
      <w:tr>
        <w:tc>
          <w:tcPr/>
          <w:p>
            <w:pPr>
              <w:pStyle w:val="Compact"/>
            </w:pPr>
            <w:r>
              <w:t xml:space="preserve">Y5</w:t>
            </w:r>
          </w:p>
        </w:tc>
        <w:tc>
          <w:tcPr/>
          <w:p>
            <w:pPr>
              <w:pStyle w:val="Compact"/>
            </w:pPr>
            <w:r>
              <w:t xml:space="preserve">не используется</w:t>
            </w:r>
          </w:p>
        </w:tc>
        <w:tc>
          <w:tcPr/>
          <w:p>
            <w:pPr>
              <w:pStyle w:val="Compact"/>
            </w:pPr>
            <w:r>
              <w:t xml:space="preserve">0A000h–0BFFFh</w:t>
            </w:r>
          </w:p>
        </w:tc>
      </w:tr>
      <w:tr>
        <w:tc>
          <w:tcPr/>
          <w:p>
            <w:pPr>
              <w:pStyle w:val="Compact"/>
            </w:pPr>
            <w:r>
              <w:t xml:space="preserve">Y6</w:t>
            </w:r>
          </w:p>
        </w:tc>
        <w:tc>
          <w:tcPr/>
          <w:p>
            <w:pPr>
              <w:pStyle w:val="Compact"/>
            </w:pPr>
            <w:r>
              <w:t xml:space="preserve">не используется</w:t>
            </w:r>
          </w:p>
        </w:tc>
        <w:tc>
          <w:tcPr/>
          <w:p>
            <w:pPr>
              <w:pStyle w:val="Compact"/>
            </w:pPr>
            <w:r>
              <w:t xml:space="preserve">0C000h–0DFFFh</w:t>
            </w:r>
          </w:p>
        </w:tc>
      </w:tr>
      <w:tr>
        <w:tc>
          <w:tcPr/>
          <w:p>
            <w:pPr>
              <w:pStyle w:val="Compact"/>
            </w:pPr>
            <w:r>
              <w:t xml:space="preserve">Y7</w:t>
            </w:r>
          </w:p>
        </w:tc>
        <w:tc>
          <w:tcPr/>
          <w:p>
            <w:pPr>
              <w:pStyle w:val="Compact"/>
            </w:pPr>
            <w:r>
              <w:t xml:space="preserve">Буфер (IDT7005)</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не используется</w:t>
            </w:r>
          </w:p>
        </w:tc>
        <w:tc>
          <w:tcPr/>
          <w:p>
            <w:pPr>
              <w:pStyle w:val="Compact"/>
            </w:pPr>
            <w:r>
              <w:t xml:space="preserve">—</w:t>
            </w:r>
          </w:p>
        </w:tc>
      </w:tr>
      <w:tr>
        <w:tc>
          <w:tcPr/>
          <w:p>
            <w:pPr>
              <w:pStyle w:val="Compact"/>
            </w:pPr>
            <w:r>
              <w:t xml:space="preserve">4</w:t>
            </w:r>
          </w:p>
        </w:tc>
        <w:tc>
          <w:tcPr/>
          <w:p>
            <w:pPr>
              <w:pStyle w:val="Compact"/>
            </w:pPr>
            <w:r>
              <w:t xml:space="preserve">P1.3</w:t>
            </w:r>
          </w:p>
        </w:tc>
        <w:tc>
          <w:tcPr/>
          <w:p>
            <w:pPr>
              <w:pStyle w:val="Compact"/>
            </w:pPr>
            <w:r>
              <w:t xml:space="preserve">не используется</w:t>
            </w:r>
          </w:p>
        </w:tc>
        <w:tc>
          <w:tcPr/>
          <w:p>
            <w:pPr>
              <w:pStyle w:val="Compact"/>
            </w:pPr>
            <w:r>
              <w:t xml:space="preserve">—</w:t>
            </w:r>
          </w:p>
        </w:tc>
      </w:tr>
      <w:tr>
        <w:tc>
          <w:tcPr/>
          <w:p>
            <w:pPr>
              <w:pStyle w:val="Compact"/>
            </w:pPr>
            <w:r>
              <w:t xml:space="preserve">5</w:t>
            </w:r>
          </w:p>
        </w:tc>
        <w:tc>
          <w:tcPr/>
          <w:p>
            <w:pPr>
              <w:pStyle w:val="Compact"/>
            </w:pPr>
            <w:r>
              <w:t xml:space="preserve">P1.4</w:t>
            </w:r>
          </w:p>
        </w:tc>
        <w:tc>
          <w:tcPr/>
          <w:p>
            <w:pPr>
              <w:pStyle w:val="Compact"/>
            </w:pPr>
            <w:r>
              <w:t xml:space="preserve">строб Y1</w:t>
            </w:r>
          </w:p>
        </w:tc>
        <w:tc>
          <w:tcPr/>
          <w:p>
            <w:pPr>
              <w:pStyle w:val="Compact"/>
            </w:pPr>
            <w:r>
              <w:t xml:space="preserve">выход</w:t>
            </w:r>
          </w:p>
        </w:tc>
      </w:tr>
      <w:tr>
        <w:tc>
          <w:tcPr/>
          <w:p>
            <w:pPr>
              <w:pStyle w:val="Compact"/>
            </w:pPr>
            <w:r>
              <w:t xml:space="preserve">6</w:t>
            </w:r>
          </w:p>
        </w:tc>
        <w:tc>
          <w:tcPr/>
          <w:p>
            <w:pPr>
              <w:pStyle w:val="Compact"/>
            </w:pPr>
            <w:r>
              <w:t xml:space="preserve">P1.5</w:t>
            </w:r>
          </w:p>
        </w:tc>
        <w:tc>
          <w:tcPr/>
          <w:p>
            <w:pPr>
              <w:pStyle w:val="Compact"/>
            </w:pPr>
            <w:r>
              <w:t xml:space="preserve">строб Y2</w:t>
            </w:r>
          </w:p>
        </w:tc>
        <w:tc>
          <w:tcPr/>
          <w:p>
            <w:pPr>
              <w:pStyle w:val="Compact"/>
            </w:pPr>
            <w:r>
              <w:t xml:space="preserve">выход</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Индикатор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Регистр Y2 (Y2)</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Клавиатура (Y3)</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не используется</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не используется</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не используется</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Буфер (IDT7005) (Y7)</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DD1 (74HC173), который записывается по адресу клавиатуры; сброс регистра подключён к RST, поэтому после включения все столбцы в нуле. Строки Row1…Row4 через повторитель DD7 (74AC244) читаются на шину данных; элемент «И» DD6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243404"/>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243404"/>
                    </a:xfrm>
                    <a:prstGeom prst="rect">
                      <a:avLst/>
                    </a:prstGeom>
                    <a:noFill/>
                    <a:ln w="9525">
                      <a:noFill/>
                      <a:headEnd/>
                      <a:tailEnd/>
                    </a:ln>
                  </pic:spPr>
                </pic:pic>
              </a:graphicData>
            </a:graphic>
          </wp:inline>
        </w:drawing>
      </w:r>
    </w:p>
    <w:p>
      <w:pPr>
        <w:pStyle w:val="ImageCaption"/>
      </w:pPr>
      <w:r>
        <w:t xml:space="preserve">Рис. 5.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(C16–C19)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220 нФФ ±10 % 50 В (C16–C19)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FYS-5612AX с общим катодом — сегмент горит при высоком уровне. Код символа записывается в регистр DD11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4895999" cy="2889442"/>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4895999" cy="2889442"/>
                    </a:xfrm>
                    <a:prstGeom prst="rect">
                      <a:avLst/>
                    </a:prstGeom>
                    <a:noFill/>
                    <a:ln w="9525">
                      <a:noFill/>
                      <a:headEnd/>
                      <a:tailEnd/>
                    </a:ln>
                  </pic:spPr>
                </pic:pic>
              </a:graphicData>
            </a:graphic>
          </wp:inline>
        </w:drawing>
      </w:r>
    </w:p>
    <w:p>
      <w:pPr>
        <w:pStyle w:val="ImageCaption"/>
      </w:pPr>
      <w:r>
        <w:t xml:space="preserve">Рис. 6.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(R10–R17,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3Fh</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06h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5Bh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3</w:t>
            </w:r>
          </w:p>
        </w:tc>
        <w:tc>
          <w:tcPr/>
          <w:p>
            <w:pPr>
              <w:pStyle w:val="Compact"/>
            </w:pPr>
            <w:r>
              <w:t xml:space="preserve">4Fh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4</w:t>
            </w:r>
          </w:p>
        </w:tc>
        <w:tc>
          <w:tcPr/>
          <w:p>
            <w:pPr>
              <w:pStyle w:val="Compact"/>
            </w:pPr>
            <w:r>
              <w:t xml:space="preserve">66h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5</w:t>
            </w:r>
          </w:p>
        </w:tc>
        <w:tc>
          <w:tcPr/>
          <w:p>
            <w:pPr>
              <w:pStyle w:val="Compact"/>
            </w:pPr>
            <w:r>
              <w:t xml:space="preserve">6Dh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6</w:t>
            </w:r>
          </w:p>
        </w:tc>
        <w:tc>
          <w:tcPr/>
          <w:p>
            <w:pPr>
              <w:pStyle w:val="Compact"/>
            </w:pPr>
            <w:r>
              <w:t xml:space="preserve">7Dh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7</w:t>
            </w:r>
          </w:p>
        </w:tc>
        <w:tc>
          <w:tcPr/>
          <w:p>
            <w:pPr>
              <w:pStyle w:val="Compact"/>
            </w:pPr>
            <w:r>
              <w:t xml:space="preserve">07h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8</w:t>
            </w:r>
          </w:p>
        </w:tc>
        <w:tc>
          <w:tcPr/>
          <w:p>
            <w:pPr>
              <w:pStyle w:val="Compact"/>
            </w:pPr>
            <w:r>
              <w:t xml:space="preserve">7Fh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9</w:t>
            </w:r>
          </w:p>
        </w:tc>
        <w:tc>
          <w:tcPr/>
          <w:p>
            <w:pPr>
              <w:pStyle w:val="Compact"/>
            </w:pPr>
            <w:r>
              <w:t xml:space="preserve">6Fh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w:t>
            </w:r>
          </w:p>
        </w:tc>
        <w:tc>
          <w:tcPr/>
          <w:p>
            <w:pPr>
              <w:pStyle w:val="Compact"/>
            </w:pPr>
            <w:r>
              <w:t xml:space="preserve">79h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выкл</w:t>
            </w:r>
          </w:p>
        </w:tc>
        <w:tc>
          <w:tcPr/>
          <w:p>
            <w:pPr>
              <w:pStyle w:val="Compact"/>
            </w:pPr>
            <w:r>
              <w:t xml:space="preserve">00h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1910 байт; для адресации нужно 11 разрядов (2</w:t>
      </w:r>
      <w:r>
        <w:rPr>
          <w:vertAlign w:val="superscript"/>
        </w:rPr>
        <w:t xml:space="preserve">11</w:t>
      </w:r>
      <w:r>
        <w:t xml:space="preserve"> </w:t>
      </w:r>
      <w:r>
        <w:t xml:space="preserve">= 2048 ≥ 1910), буфер занимает ячейки 0E000h–0E775h окна Y7.</w:t>
      </w:r>
    </w:p>
    <w:p>
      <w:pPr>
        <w:pStyle w:val="BodyText"/>
      </w:pPr>
      <w:r>
        <w:t xml:space="preserve">Буфером управляет МК: оба порта ОЗУ выбираются одним сигналом CS_buf (выход Y7 дешифратора) и получают один и тот же адрес с шины МК (схема размещения в методических указаниях, прил. А). По ТЗ (разд. 2.1, п. 6) слева выполняется только чтение, справа — только запись сигнала</w:t>
      </w:r>
      <w:r>
        <w:t xml:space="preserve"> </w:t>
      </w:r>
      <w:r>
        <w:rPr>
          <w:i/>
          <w:iCs/>
        </w:rPr>
        <w:t xml:space="preserve">X</w:t>
      </w:r>
      <w:r>
        <w:rPr>
          <w:vertAlign w:val="subscript"/>
        </w:rPr>
        <w:t xml:space="preserve">2</w:t>
      </w:r>
      <w:r>
        <w:t xml:space="preserve">: у левого порта OE ← RD, R/W = 1, CE = ИЛИ(CS_buf, RD) (элемент DD9), данные — шина D0–D7 МК; у правого порта R/W ← WR, OE = 1, данные I/O0R–I/O7R — с отдельного разъёма доступа к буферу (ТЗ, разд. 2.1, п. 9), куда внешнее устройство выставляет отсчёт</w:t>
      </w:r>
      <w:r>
        <w:t xml:space="preserve"> </w:t>
      </w:r>
      <w:r>
        <w:rPr>
          <w:i/>
          <w:iCs/>
        </w:rPr>
        <w:t xml:space="preserve">X</w:t>
      </w:r>
      <w:r>
        <w:rPr>
          <w:vertAlign w:val="subscript"/>
        </w:rPr>
        <w:t xml:space="preserve">2</w:t>
      </w:r>
      <w:r>
        <w:t xml:space="preserve"> </w:t>
      </w:r>
      <w:r>
        <w:t xml:space="preserve">и строб записи. Строб поступает на вход прерывания INT1; обработчик выполняет movx-запись по адресу «головы», и в цикле записи правый порт заносит в ячейку байт</w:t>
      </w:r>
      <w:r>
        <w:t xml:space="preserve"> </w:t>
      </w:r>
      <w:r>
        <w:rPr>
          <w:i/>
          <w:iCs/>
        </w:rPr>
        <w:t xml:space="preserve">X</w:t>
      </w:r>
      <w:r>
        <w:rPr>
          <w:vertAlign w:val="subscript"/>
        </w:rPr>
        <w:t xml:space="preserve">2</w:t>
      </w:r>
      <w:r>
        <w:t xml:space="preserve"> </w:t>
      </w:r>
      <w:r>
        <w:t xml:space="preserve">с разъёма (содержимое аккумулятора при этом не важно), затем сдвигает «голову» по кольцу 0E000h–0E775h и обновляет флаги пустоты и переполнения. Читает отсчёты МК через левый порт по адресу «хвоста». Используются 11 младших адресных линий (V = 1910 ≤ 2048), старшие адресные входы обоих портов подключены к общему проводу. Микросхема одна, поэтому она включена ведущей (M/S = 1): выходы BUSY и INT не используются и никуда не подключены, на питание заведены только входы (R/W левого порта, OE правого, SEM).</w:t>
      </w:r>
    </w:p>
    <w:p>
      <w:pPr>
        <w:pStyle w:val="BodyText"/>
      </w:pPr>
      <w:r>
        <w:t xml:space="preserve">Левый порт выбирается только при чтении. Микросхема ведущая, и при одновременном обращении обоих портов к одной ячейке её логика занятости могла бы заблокировать запись правого порта (документация IDT7005, табл. II, прим. 3). Так как при записи левый порт не выбран, запись отсчёта правым портом выполняется всегда; при чтении правый порт не пишет (R/W = 1), а одновременное чтение данных не искажает.</w:t>
      </w:r>
    </w:p>
    <w:p>
      <w:pPr>
        <w:pStyle w:val="Figure"/>
      </w:pPr>
      <w:r>
        <w:drawing>
          <wp:inline>
            <wp:extent cx="2627999" cy="4126859"/>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2627999" cy="4126859"/>
                    </a:xfrm>
                    <a:prstGeom prst="rect">
                      <a:avLst/>
                    </a:prstGeom>
                    <a:noFill/>
                    <a:ln w="9525">
                      <a:noFill/>
                      <a:headEnd/>
                      <a:tailEnd/>
                    </a:ln>
                  </pic:spPr>
                </pic:pic>
              </a:graphicData>
            </a:graphic>
          </wp:inline>
        </w:drawing>
      </w:r>
    </w:p>
    <w:p>
      <w:pPr>
        <w:pStyle w:val="ImageCaption"/>
      </w:pPr>
      <w:r>
        <w:t xml:space="preserve">Рис. 7. Подключение кольцевого буфера</w:t>
      </w:r>
    </w:p>
    <w:p>
      <w:pPr>
        <w:pStyle w:val="BodyText"/>
      </w:pPr>
      <w:r>
        <w:t xml:space="preserve">Порты IDT7005 у меня разделены: левый целиком подключён к микроконтроллеру (A0–A12, D0–D7, CE от выхода Y7 дешифратора, OE от RD, R/W от WR), а правый целиком выведен на отдельный разъём доступа к буферу, где адрес, данные и строб записи R/W выставляет само внешнее устройство (CE и OE правого порта постоянно активны). Очередной отсчёт X2 внешнее устройство записывает правым портом в ячейку обмена 0FFFFh, которая лежит вне кольца 0E000h–0E775h, и тот же строб записи приходит на вход INT1. Прерывание срабатывает по спаду строба, а память фиксирует байт только по его фронту, поэтому обработчик INT1 сначала ждёт, пока на P3.3 снова появится единица, и лишь потом читает ячейку обмена левым портом (movx A,</w:t>
      </w:r>
      <w:r>
        <w:t xml:space="preserve">@DPTR</w:t>
      </w:r>
      <w:r>
        <w:t xml:space="preserve"> </w:t>
      </w:r>
      <w:r>
        <w:t xml:space="preserve">по RD). Прочитанный отсчёт обработчик передаёт процедуре записи, которая кладёт его в ячейку «головы», сдвигает «голову» (после 0E775h — на 0E000h) и снимает флаг пустоты; при заполненном кольце она же сдвигает «хвост», выбрасывая самый старый отсчёт, и ставит флаг переполнения. Указатели и флаги целиком ведёт МК: при расчёте Y2 процедура чтения берёт отсчёт из ячейки «хвоста» тем же левым портом и сдвигает «хвост», а результат уходит в регистр Y2.</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8.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9.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tQVWH ≥ 433 нс</w:t>
            </w:r>
          </w:p>
        </w:tc>
        <w:tc>
          <w:tcPr/>
          <w:p>
            <w:pPr>
              <w:pStyle w:val="Compact"/>
            </w:pPr>
            <w:r>
              <w:t xml:space="preserve">403</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tWHQX ≥ 33 нс</w:t>
            </w:r>
          </w:p>
        </w:tc>
        <w:tc>
          <w:tcPr/>
          <w:p>
            <w:pPr>
              <w:pStyle w:val="Compact"/>
            </w:pPr>
            <w:r>
              <w:t xml:space="preserve">33</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Все требования ОЗУ выполняются с запасом в несколько раз: память отвечает за 30–55 нс, а МК отводит на обмен сотни наносекунд. Такты ожидания не требуются (у МК семейства MCS-51 их и нет), буфер IDT7005 подключается к шине МК напрямую.</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313 мс на выводе P1.4 (отсчёт — таймер 0). Сигнал</w:t>
      </w:r>
      <w:r>
        <w:t xml:space="preserve"> </w:t>
      </w:r>
      <w:r>
        <w:rPr>
          <w:i/>
          <w:iCs/>
        </w:rPr>
        <w:t xml:space="preserve">Y</w:t>
      </w:r>
      <w:r>
        <w:rPr>
          <w:vertAlign w:val="subscript"/>
        </w:rPr>
        <w:t xml:space="preserve">2</w:t>
      </w:r>
      <w:r>
        <w:t xml:space="preserve"> </w:t>
      </w:r>
      <w:r>
        <w:t xml:space="preserve">= (21 + 11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DD8 (74AC573, рисунок 10), выбираемый выходом Y2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1751 мкс на выводе P1.5 (таймер 1).</w:t>
      </w:r>
    </w:p>
    <w:p>
      <w:pPr>
        <w:pStyle w:val="Figure"/>
      </w:pPr>
      <w:r>
        <w:drawing>
          <wp:inline>
            <wp:extent cx="5939999" cy="2602921"/>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2602921"/>
                    </a:xfrm>
                    <a:prstGeom prst="rect">
                      <a:avLst/>
                    </a:prstGeom>
                    <a:noFill/>
                    <a:ln w="9525">
                      <a:noFill/>
                      <a:headEnd/>
                      <a:tailEnd/>
                    </a:ln>
                  </pic:spPr>
                </pic:pic>
              </a:graphicData>
            </a:graphic>
          </wp:inline>
        </w:drawing>
      </w:r>
    </w:p>
    <w:p>
      <w:pPr>
        <w:pStyle w:val="ImageCaption"/>
      </w:pPr>
      <w:r>
        <w:t xml:space="preserve">Рис. 10.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(C5–C15, К10-17Б 33 нФФ ±10 % 50 В), на входе цепи питания — электролитический конденсатор 470 мкФ (C4, К50-35 470 мкФ ±20 % 16 В),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2694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26942"/>
                    </a:xfrm>
                    <a:prstGeom prst="rect">
                      <a:avLst/>
                    </a:prstGeom>
                    <a:noFill/>
                    <a:ln w="9525">
                      <a:noFill/>
                      <a:headEnd/>
                      <a:tailEnd/>
                    </a:ln>
                  </pic:spPr>
                </pic:pic>
              </a:graphicData>
            </a:graphic>
          </wp:inline>
        </w:drawing>
      </w:r>
    </w:p>
    <w:p>
      <w:pPr>
        <w:pStyle w:val="ImageCaption"/>
      </w:pPr>
      <w:r>
        <w:t xml:space="preserve">Рис. 11.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30.10.26).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30.10.26).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30.10.26).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30.10.26).</w:t>
      </w:r>
    </w:p>
    <w:p>
      <w:pPr>
        <w:pStyle w:val="Compact"/>
        <w:numPr>
          <w:ilvl w:val="0"/>
          <w:numId w:val="1002"/>
        </w:numPr>
      </w:pPr>
      <w:r>
        <w:t xml:space="preserve">74AC573. Octal D-Type Latch with 3-STATE Outputs : datasheet. — Текст : электронный // onsemi : [сайт]. — URL: https://www.onsemi.com (дата обращения: 30.10.26).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30.10.26).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30.10.26).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w:t>
            </w:r>
          </w:p>
        </w:tc>
        <w:tc>
          <w:tcPr/>
          <w:p>
            <w:pPr>
              <w:pStyle w:val="Compact"/>
            </w:pPr>
            <w:r>
              <w:t xml:space="preserve">К10-17Б 1 мкФ ±10 % 50 В</w:t>
            </w:r>
          </w:p>
        </w:tc>
        <w:tc>
          <w:tcPr/>
          <w:p>
            <w:pPr>
              <w:pStyle w:val="Compact"/>
            </w:pPr>
            <w:r>
              <w:t xml:space="preserve">1</w:t>
            </w:r>
          </w:p>
        </w:tc>
        <w:tc>
          <w:tcPr/>
          <w:p>
            <w:pPr>
              <w:pStyle w:val="Compact"/>
            </w:pPr>
          </w:p>
        </w:tc>
      </w:tr>
      <w:tr>
        <w:tc>
          <w:tcPr/>
          <w:p>
            <w:pPr>
              <w:pStyle w:val="Compact"/>
            </w:pPr>
            <w:r>
              <w:t xml:space="preserve">C2, C3</w:t>
            </w:r>
          </w:p>
        </w:tc>
        <w:tc>
          <w:tcPr/>
          <w:p>
            <w:pPr>
              <w:pStyle w:val="Compact"/>
            </w:pPr>
            <w:r>
              <w:t xml:space="preserve">К10-17Б 30 пФ ±10 % 50 В</w:t>
            </w:r>
          </w:p>
        </w:tc>
        <w:tc>
          <w:tcPr/>
          <w:p>
            <w:pPr>
              <w:pStyle w:val="Compact"/>
            </w:pPr>
            <w:r>
              <w:t xml:space="preserve">2</w:t>
            </w:r>
          </w:p>
        </w:tc>
        <w:tc>
          <w:tcPr/>
          <w:p>
            <w:pPr>
              <w:pStyle w:val="Compact"/>
            </w:pPr>
          </w:p>
        </w:tc>
      </w:tr>
      <w:tr>
        <w:tc>
          <w:tcPr/>
          <w:p>
            <w:pPr>
              <w:pStyle w:val="Compact"/>
            </w:pPr>
            <w:r>
              <w:t xml:space="preserve">C4</w:t>
            </w:r>
          </w:p>
        </w:tc>
        <w:tc>
          <w:tcPr/>
          <w:p>
            <w:pPr>
              <w:pStyle w:val="Compact"/>
            </w:pPr>
            <w:r>
              <w:t xml:space="preserve">К50-35 470 мкФ ±20 % 16 В</w:t>
            </w:r>
          </w:p>
        </w:tc>
        <w:tc>
          <w:tcPr/>
          <w:p>
            <w:pPr>
              <w:pStyle w:val="Compact"/>
            </w:pPr>
            <w:r>
              <w:t xml:space="preserve">1</w:t>
            </w:r>
          </w:p>
        </w:tc>
        <w:tc>
          <w:tcPr/>
          <w:p>
            <w:pPr>
              <w:pStyle w:val="Compact"/>
            </w:pPr>
          </w:p>
        </w:tc>
      </w:tr>
      <w:tr>
        <w:tc>
          <w:tcPr/>
          <w:p>
            <w:pPr>
              <w:pStyle w:val="Compact"/>
            </w:pPr>
            <w:r>
              <w:t xml:space="preserve">C5–C15</w:t>
            </w:r>
          </w:p>
        </w:tc>
        <w:tc>
          <w:tcPr/>
          <w:p>
            <w:pPr>
              <w:pStyle w:val="Compact"/>
            </w:pPr>
            <w:r>
              <w:t xml:space="preserve">К10-17Б 33 нФФ ±10 % 50 В</w:t>
            </w:r>
          </w:p>
        </w:tc>
        <w:tc>
          <w:tcPr/>
          <w:p>
            <w:pPr>
              <w:pStyle w:val="Compact"/>
            </w:pPr>
            <w:r>
              <w:t xml:space="preserve">11</w:t>
            </w:r>
          </w:p>
        </w:tc>
        <w:tc>
          <w:tcPr/>
          <w:p>
            <w:pPr>
              <w:pStyle w:val="Compact"/>
            </w:pPr>
          </w:p>
        </w:tc>
      </w:tr>
      <w:tr>
        <w:tc>
          <w:tcPr/>
          <w:p>
            <w:pPr>
              <w:pStyle w:val="Compact"/>
            </w:pPr>
            <w:r>
              <w:t xml:space="preserve">C16–C19</w:t>
            </w:r>
          </w:p>
        </w:tc>
        <w:tc>
          <w:tcPr/>
          <w:p>
            <w:pPr>
              <w:pStyle w:val="Compact"/>
            </w:pPr>
            <w:r>
              <w:t xml:space="preserve">К10-17Б 220 нФФ ±10 % 50 В</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DD2</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DD3, DD8, DD11</w:t>
            </w:r>
          </w:p>
        </w:tc>
        <w:tc>
          <w:tcPr/>
          <w:p>
            <w:pPr>
              <w:pStyle w:val="Compact"/>
            </w:pPr>
            <w:r>
              <w:t xml:space="preserve">74AC573</w:t>
            </w:r>
          </w:p>
        </w:tc>
        <w:tc>
          <w:tcPr/>
          <w:p>
            <w:pPr>
              <w:pStyle w:val="Compact"/>
            </w:pPr>
            <w:r>
              <w:t xml:space="preserve">3</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DD7</w:t>
            </w:r>
          </w:p>
        </w:tc>
        <w:tc>
          <w:tcPr/>
          <w:p>
            <w:pPr>
              <w:pStyle w:val="Compact"/>
            </w:pPr>
            <w:r>
              <w:t xml:space="preserve">IN74AC244</w:t>
            </w:r>
          </w:p>
        </w:tc>
        <w:tc>
          <w:tcPr/>
          <w:p>
            <w:pPr>
              <w:pStyle w:val="Compact"/>
            </w:pPr>
            <w:r>
              <w:t xml:space="preserve">1</w:t>
            </w:r>
          </w:p>
        </w:tc>
        <w:tc>
          <w:tcPr/>
          <w:p>
            <w:pPr>
              <w:pStyle w:val="Compact"/>
            </w:pPr>
            <w:r>
              <w:t xml:space="preserve">Буферный формирователь</w:t>
            </w:r>
          </w:p>
        </w:tc>
      </w:tr>
      <w:tr>
        <w:tc>
          <w:tcPr/>
          <w:p>
            <w:pPr>
              <w:pStyle w:val="Compact"/>
            </w:pPr>
            <w:r>
              <w:t xml:space="preserve">DD9</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8К×8</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FYS-5612AX</w:t>
            </w:r>
          </w:p>
        </w:tc>
        <w:tc>
          <w:tcPr/>
          <w:p>
            <w:pPr>
              <w:pStyle w:val="Compact"/>
            </w:pPr>
            <w:r>
              <w:t xml:space="preserve">1</w:t>
            </w:r>
          </w:p>
        </w:tc>
        <w:tc>
          <w:tcPr/>
          <w:p>
            <w:pPr>
              <w:pStyle w:val="Compact"/>
            </w:pPr>
            <w:r>
              <w:t xml:space="preserve">Индикатор, общий катод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w:t>
            </w:r>
          </w:p>
        </w:tc>
        <w:tc>
          <w:tcPr/>
          <w:p>
            <w:pPr>
              <w:pStyle w:val="Compact"/>
            </w:pPr>
            <w:r>
              <w:t xml:space="preserve">МЛТ-0,125 20 кОм ±5 %</w:t>
            </w:r>
          </w:p>
        </w:tc>
        <w:tc>
          <w:tcPr/>
          <w:p>
            <w:pPr>
              <w:pStyle w:val="Compact"/>
            </w:pPr>
            <w:r>
              <w:t xml:space="preserve">1</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R6–R9, R18</w:t>
            </w:r>
          </w:p>
        </w:tc>
        <w:tc>
          <w:tcPr/>
          <w:p>
            <w:pPr>
              <w:pStyle w:val="Compact"/>
            </w:pPr>
            <w:r>
              <w:t xml:space="preserve">МЛТ-0,125 10 кОм ±5 %</w:t>
            </w:r>
          </w:p>
        </w:tc>
        <w:tc>
          <w:tcPr/>
          <w:p>
            <w:pPr>
              <w:pStyle w:val="Compact"/>
            </w:pPr>
            <w:r>
              <w:t xml:space="preserve">5</w:t>
            </w:r>
          </w:p>
        </w:tc>
        <w:tc>
          <w:tcPr/>
          <w:p>
            <w:pPr>
              <w:pStyle w:val="Compact"/>
            </w:pPr>
          </w:p>
        </w:tc>
      </w:tr>
      <w:tr>
        <w:tc>
          <w:tcPr/>
          <w:p>
            <w:pPr>
              <w:pStyle w:val="Compact"/>
            </w:pPr>
            <w:r>
              <w:t xml:space="preserve">R10–R17</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PBS-2</w:t>
            </w:r>
          </w:p>
        </w:tc>
        <w:tc>
          <w:tcPr/>
          <w:p>
            <w:pPr>
              <w:pStyle w:val="Compact"/>
            </w:pPr>
            <w:r>
              <w:t xml:space="preserve">1</w:t>
            </w:r>
          </w:p>
        </w:tc>
        <w:tc>
          <w:tcPr/>
          <w:p>
            <w:pPr>
              <w:pStyle w:val="Compact"/>
            </w:pPr>
            <w:r>
              <w:t xml:space="preserve">Розетка, 2 конт.</w:t>
            </w:r>
          </w:p>
        </w:tc>
      </w:tr>
      <w:tr>
        <w:tc>
          <w:tcPr/>
          <w:p>
            <w:pPr>
              <w:pStyle w:val="Compact"/>
            </w:pPr>
            <w:r>
              <w:t xml:space="preserve">XS2</w:t>
            </w:r>
          </w:p>
        </w:tc>
        <w:tc>
          <w:tcPr/>
          <w:p>
            <w:pPr>
              <w:pStyle w:val="Compact"/>
            </w:pPr>
            <w:r>
              <w:t xml:space="preserve">PBS-10</w:t>
            </w:r>
          </w:p>
        </w:tc>
        <w:tc>
          <w:tcPr/>
          <w:p>
            <w:pPr>
              <w:pStyle w:val="Compact"/>
            </w:pPr>
            <w:r>
              <w:t xml:space="preserve">1</w:t>
            </w:r>
          </w:p>
        </w:tc>
        <w:tc>
          <w:tcPr/>
          <w:p>
            <w:pPr>
              <w:pStyle w:val="Compact"/>
            </w:pPr>
            <w:r>
              <w:t xml:space="preserve">Розетка, 10 конт.</w:t>
            </w:r>
          </w:p>
        </w:tc>
      </w:tr>
      <w:tr>
        <w:tc>
          <w:tcPr/>
          <w:p>
            <w:pPr>
              <w:pStyle w:val="Compact"/>
            </w:pPr>
            <w:r>
              <w:t xml:space="preserve">XS3</w:t>
            </w:r>
          </w:p>
        </w:tc>
        <w:tc>
          <w:tcPr/>
          <w:p>
            <w:pPr>
              <w:pStyle w:val="Compact"/>
            </w:pPr>
            <w:r>
              <w:t xml:space="preserve">PBS-11</w:t>
            </w:r>
          </w:p>
        </w:tc>
        <w:tc>
          <w:tcPr/>
          <w:p>
            <w:pPr>
              <w:pStyle w:val="Compact"/>
            </w:pPr>
            <w:r>
              <w:t xml:space="preserve">1</w:t>
            </w:r>
          </w:p>
        </w:tc>
        <w:tc>
          <w:tcPr/>
          <w:p>
            <w:pPr>
              <w:pStyle w:val="Compact"/>
            </w:pPr>
            <w:r>
              <w:t xml:space="preserve">Розетка, 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HC-49S 12 МГц</w:t>
            </w:r>
          </w:p>
        </w:tc>
        <w:tc>
          <w:tcPr/>
          <w:p>
            <w:pPr>
              <w:pStyle w:val="Compact"/>
            </w:pPr>
            <w:r>
              <w:t xml:space="preserve">1</w:t>
            </w:r>
          </w:p>
        </w:tc>
        <w:tc>
          <w:tcPr/>
          <w:p>
            <w:pPr>
              <w:pStyle w:val="Compact"/>
            </w:pPr>
            <w:r>
              <w:t xml:space="preserve">Кварцевый</w:t>
            </w: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 Б.1. Схема электрическая принципиальная (группа Аэ-21-23, вариант 11,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0"/>
      <w:jc w:val="center"/>
      <w:outlineLvl w:val="0"/>
    </w:pPr>
    <w:rPr>
      <w:rFonts w:ascii="Times New Roman" w:cs="Times New Roman" w:eastAsia="Times New Roman" w:hAnsi="Times New Roman"/>
      <w:b/>
      <w:caps/>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2026-10-30T08:38:52Z</dcterms:created>
  <dcterms:modified xsi:type="dcterms:W3CDTF">2026-10-30T08:38:52Z</dcterms:modified>
</cp:coreProperties>
</file>

<file path=docProps/custom.xml><?xml version="1.0" encoding="utf-8"?>
<Properties xmlns="http://schemas.openxmlformats.org/officeDocument/2006/custom-properties" xmlns:vt="http://schemas.openxmlformats.org/officeDocument/2006/docPropsVTypes"/>
</file>