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Сапон Г.М.</w:t>
            </w:r>
          </w:p>
          <w:p>
            <w:pPr>
              <w:spacing w:before="56" w:after="0"/>
              <w:ind w:left="5386" w:firstLine="0"/>
              <w:jc w:val="left"/>
              <w:rPr>
                <w:sz w:val="28"/>
              </w:rPr>
            </w:pPr>
            <w:r>
              <w:rPr>
                <w:sz w:val="28"/>
              </w:rPr>
              <w:t xml:space="preserve">Группа: А-06-23</w:t>
            </w:r>
          </w:p>
          <w:p>
            <w:pPr>
              <w:spacing w:before="56" w:after="0"/>
              <w:ind w:left="5386" w:firstLine="0"/>
              <w:jc w:val="left"/>
              <w:rPr>
                <w:sz w:val="28"/>
              </w:rPr>
            </w:pPr>
            <w:r>
              <w:rPr>
                <w:sz w:val="28"/>
              </w:rPr>
              <w:t xml:space="preserve">Вариант: 9</w:t>
            </w:r>
          </w:p>
          <w:p>
            <w:pPr>
              <w:spacing w:before="56" w:after="0"/>
              <w:ind w:left="5386" w:firstLine="0"/>
              <w:jc w:val="left"/>
              <w:rPr>
                <w:sz w:val="28"/>
              </w:rPr>
            </w:pPr>
            <w:r>
              <w:rPr>
                <w:sz w:val="28"/>
              </w:rPr>
              <w:t xml:space="preserve">Дата: 17.10.26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Ключанский А.А.</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14</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17</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18</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9, группа А-06-23), выполнены расчёты элементов сопряжения и построены временные диаграммы обмена МК с буфером.</w:t>
      </w:r>
    </w:p>
    <w:p>
      <w:pPr>
        <w:pStyle w:val="Fill"/>
      </w:pPr>
      <w:r>
        <w:t xml:space="preserve">✍ ДОПИШИ (p1.intro в students/…/pz/): одним абзацем — что делает твоя система и чем вариант отличается (клавиатура, индикатор, сигналы Y). Можно удалить подсказку, если введение устраивает.</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Рисунок 1 —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Рисунок 2 —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P1.2</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256 мс</w:t>
            </w:r>
          </w:p>
        </w:tc>
      </w:tr>
      <w:tr>
        <w:tc>
          <w:tcPr/>
          <w:p>
            <w:pPr>
              <w:pStyle w:val="Compact"/>
            </w:pPr>
            <w:r>
              <w:t xml:space="preserve">P1.3</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1776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256 мс и</w:t>
            </w:r>
            <w:r>
              <w:t xml:space="preserve"> </w:t>
            </w:r>
            <w:r>
              <w:rPr>
                <w:i/>
                <w:iCs/>
              </w:rPr>
              <w:t xml:space="preserve">T</w:t>
            </w:r>
            <w:r>
              <w:rPr>
                <w:vertAlign w:val="subscript"/>
              </w:rPr>
              <w:t xml:space="preserve">3</w:t>
            </w:r>
            <w:r>
              <w:t xml:space="preserve"> </w:t>
            </w:r>
            <w:r>
              <w:t xml:space="preserve">= 2,550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1776 мкс</w:t>
            </w:r>
          </w:p>
        </w:tc>
      </w:tr>
      <w:tr>
        <w:tc>
          <w:tcPr/>
          <w:p>
            <w:pPr>
              <w:pStyle w:val="Compact"/>
            </w:pPr>
            <w:r>
              <w:t xml:space="preserve">Внутреннее ОЗУ</w:t>
            </w:r>
          </w:p>
        </w:tc>
        <w:tc>
          <w:tcPr/>
          <w:p>
            <w:pPr>
              <w:pStyle w:val="Compact"/>
            </w:pPr>
            <w:r>
              <w:t xml:space="preserve">указатели буфера «голова» 38h, «хвост» 3Ah; флаги пустоты 21h.1 и переполнения 21h.7;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Рисунок 3 —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100 кОм · 1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Рисунок 4 —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Буфер (IDT7005)</w:t>
            </w:r>
          </w:p>
        </w:tc>
        <w:tc>
          <w:tcPr/>
          <w:p>
            <w:pPr>
              <w:pStyle w:val="Compact"/>
            </w:pPr>
            <w:r>
              <w:t xml:space="preserve">2000h–3FFFh</w:t>
            </w:r>
          </w:p>
        </w:tc>
      </w:tr>
      <w:tr>
        <w:tc>
          <w:tcPr/>
          <w:p>
            <w:pPr>
              <w:pStyle w:val="Compact"/>
            </w:pPr>
            <w:r>
              <w:t xml:space="preserve">Y2</w:t>
            </w:r>
          </w:p>
        </w:tc>
        <w:tc>
          <w:tcPr/>
          <w:p>
            <w:pPr>
              <w:pStyle w:val="Compact"/>
            </w:pPr>
            <w:r>
              <w:t xml:space="preserve">Индикатор</w:t>
            </w:r>
          </w:p>
        </w:tc>
        <w:tc>
          <w:tcPr/>
          <w:p>
            <w:pPr>
              <w:pStyle w:val="Compact"/>
            </w:pPr>
            <w:r>
              <w:t xml:space="preserve">4000h–5FFFh</w:t>
            </w:r>
          </w:p>
        </w:tc>
      </w:tr>
      <w:tr>
        <w:tc>
          <w:tcPr/>
          <w:p>
            <w:pPr>
              <w:pStyle w:val="Compact"/>
            </w:pPr>
            <w:r>
              <w:t xml:space="preserve">Y3</w:t>
            </w:r>
          </w:p>
        </w:tc>
        <w:tc>
          <w:tcPr/>
          <w:p>
            <w:pPr>
              <w:pStyle w:val="Compact"/>
            </w:pPr>
            <w:r>
              <w:t xml:space="preserve">Регистр Y2</w:t>
            </w:r>
          </w:p>
        </w:tc>
        <w:tc>
          <w:tcPr/>
          <w:p>
            <w:pPr>
              <w:pStyle w:val="Compact"/>
            </w:pPr>
            <w:r>
              <w:t xml:space="preserve">6000h–7FFFh</w:t>
            </w:r>
          </w:p>
        </w:tc>
      </w:tr>
      <w:tr>
        <w:tc>
          <w:tcPr/>
          <w:p>
            <w:pPr>
              <w:pStyle w:val="Compact"/>
            </w:pPr>
            <w:r>
              <w:t xml:space="preserve">Y4</w:t>
            </w:r>
          </w:p>
        </w:tc>
        <w:tc>
          <w:tcPr/>
          <w:p>
            <w:pPr>
              <w:pStyle w:val="Compact"/>
            </w:pPr>
            <w:r>
              <w:t xml:space="preserve">Клавиатура</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не используется</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строб Y1</w:t>
            </w:r>
          </w:p>
        </w:tc>
        <w:tc>
          <w:tcPr/>
          <w:p>
            <w:pPr>
              <w:pStyle w:val="Compact"/>
            </w:pPr>
            <w:r>
              <w:t xml:space="preserve">выход</w:t>
            </w:r>
          </w:p>
        </w:tc>
      </w:tr>
      <w:tr>
        <w:tc>
          <w:tcPr/>
          <w:p>
            <w:pPr>
              <w:pStyle w:val="Compact"/>
            </w:pPr>
            <w:r>
              <w:t xml:space="preserve">4</w:t>
            </w:r>
          </w:p>
        </w:tc>
        <w:tc>
          <w:tcPr/>
          <w:p>
            <w:pPr>
              <w:pStyle w:val="Compact"/>
            </w:pPr>
            <w:r>
              <w:t xml:space="preserve">P1.3</w:t>
            </w:r>
          </w:p>
        </w:tc>
        <w:tc>
          <w:tcPr/>
          <w:p>
            <w:pPr>
              <w:pStyle w:val="Compact"/>
            </w:pPr>
            <w:r>
              <w:t xml:space="preserve">строб Y2</w:t>
            </w:r>
          </w:p>
        </w:tc>
        <w:tc>
          <w:tcPr/>
          <w:p>
            <w:pPr>
              <w:pStyle w:val="Compact"/>
            </w:pPr>
            <w:r>
              <w:t xml:space="preserve">выход</w:t>
            </w:r>
          </w:p>
        </w:tc>
      </w:tr>
      <w:tr>
        <w:tc>
          <w:tcPr/>
          <w:p>
            <w:pPr>
              <w:pStyle w:val="Compact"/>
            </w:pPr>
            <w:r>
              <w:t xml:space="preserve">5</w:t>
            </w:r>
          </w:p>
        </w:tc>
        <w:tc>
          <w:tcPr/>
          <w:p>
            <w:pPr>
              <w:pStyle w:val="Compact"/>
            </w:pPr>
            <w:r>
              <w:t xml:space="preserve">P1.4</w:t>
            </w:r>
          </w:p>
        </w:tc>
        <w:tc>
          <w:tcPr/>
          <w:p>
            <w:pPr>
              <w:pStyle w:val="Compact"/>
            </w:pPr>
            <w:r>
              <w:t xml:space="preserve">не используется</w:t>
            </w:r>
          </w:p>
        </w:tc>
        <w:tc>
          <w:tcPr/>
          <w:p>
            <w:pPr>
              <w:pStyle w:val="Compact"/>
            </w:pPr>
            <w:r>
              <w:t xml:space="preserve">—</w:t>
            </w:r>
          </w:p>
        </w:tc>
      </w:tr>
      <w:tr>
        <w:tc>
          <w:tcPr/>
          <w:p>
            <w:pPr>
              <w:pStyle w:val="Compact"/>
            </w:pPr>
            <w:r>
              <w:t xml:space="preserve">6</w:t>
            </w:r>
          </w:p>
        </w:tc>
        <w:tc>
          <w:tcPr/>
          <w:p>
            <w:pPr>
              <w:pStyle w:val="Compact"/>
            </w:pPr>
            <w:r>
              <w:t xml:space="preserve">P1.5</w:t>
            </w:r>
          </w:p>
        </w:tc>
        <w:tc>
          <w:tcPr/>
          <w:p>
            <w:pPr>
              <w:pStyle w:val="Compact"/>
            </w:pPr>
            <w:r>
              <w:t xml:space="preserve">не используется</w:t>
            </w:r>
          </w:p>
        </w:tc>
        <w:tc>
          <w:tcPr/>
          <w:p>
            <w:pPr>
              <w:pStyle w:val="Compact"/>
            </w:pPr>
            <w:r>
              <w:t xml:space="preserve">—</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Буфер (IDT7005)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Индикатор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Регистр Y2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Клавиатура (Y4)</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не используется</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Рисунок 5 —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(C18–C21)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(C18–C21)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DD13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5723999" cy="3557345"/>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5723999" cy="3557345"/>
                    </a:xfrm>
                    <a:prstGeom prst="rect">
                      <a:avLst/>
                    </a:prstGeom>
                    <a:noFill/>
                    <a:ln w="9525">
                      <a:noFill/>
                      <a:headEnd/>
                      <a:tailEnd/>
                    </a:ln>
                  </pic:spPr>
                </pic:pic>
              </a:graphicData>
            </a:graphic>
          </wp:inline>
        </w:drawing>
      </w:r>
    </w:p>
    <w:p>
      <w:pPr>
        <w:pStyle w:val="ImageCaption"/>
      </w:pPr>
      <w:r>
        <w:t xml:space="preserve">Рисунок 6 —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(R11–R18,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1290 байт; для адресации нужно 11 разрядов (2</w:t>
      </w:r>
      <w:r>
        <w:rPr>
          <w:vertAlign w:val="superscript"/>
        </w:rPr>
        <w:t xml:space="preserve">11</w:t>
      </w:r>
      <w:r>
        <w:t xml:space="preserve"> </w:t>
      </w:r>
      <w:r>
        <w:t xml:space="preserve">= 2048 ≥ 1290), буфер занимает ячейки 2000h–2509h окна Y1.</w:t>
      </w:r>
    </w:p>
    <w:p>
      <w:pPr>
        <w:pStyle w:val="BodyText"/>
      </w:pPr>
      <w:r>
        <w:t xml:space="preserve">Буфером управляет МК: оба порта ОЗУ выбираются одним сигналом CS_buf (выход Y1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2000h–2509h и обновляет флаги пустоты и переполнения. Читает отсчёты МК через левый порт по адресу «хвоста». Используются 11 младших адресных линий (V = 1290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4463999" cy="6680884"/>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4463999" cy="6680884"/>
                    </a:xfrm>
                    <a:prstGeom prst="rect">
                      <a:avLst/>
                    </a:prstGeom>
                    <a:noFill/>
                    <a:ln w="9525">
                      <a:noFill/>
                      <a:headEnd/>
                      <a:tailEnd/>
                    </a:ln>
                  </pic:spPr>
                </pic:pic>
              </a:graphicData>
            </a:graphic>
          </wp:inline>
        </w:drawing>
      </w:r>
    </w:p>
    <w:p>
      <w:pPr>
        <w:pStyle w:val="ImageCaption"/>
      </w:pPr>
      <w:r>
        <w:t xml:space="preserve">Рисунок 7 — Подключение кольцевого буфера</w:t>
      </w:r>
    </w:p>
    <w:p>
      <w:pPr>
        <w:pStyle w:val="Fill"/>
      </w:pPr>
      <w:r>
        <w:t xml:space="preserve">✍ ДОПИШИ (p1.buffer в students/…/pz/): своими словами проследи путь одного отсчёта X2: разъём и строб → прерывание → movx-запись по «голове» (байт с разъёма через правый порт) → сдвиг «головы» → чтение МК левым портом → Y2 (кто выставляет адрес, какой строб, кто двигает «голову» и «хвост»). 3–5 предложений, не пересказывая абзац выше.</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8 —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9 —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256 мс на выводе P1.2 (отсчёт — таймер 0). Сигнал</w:t>
      </w:r>
      <w:r>
        <w:t xml:space="preserve"> </w:t>
      </w:r>
      <w:r>
        <w:rPr>
          <w:i/>
          <w:iCs/>
        </w:rPr>
        <w:t xml:space="preserve">Y</w:t>
      </w:r>
      <w:r>
        <w:rPr>
          <w:vertAlign w:val="subscript"/>
        </w:rPr>
        <w:t xml:space="preserve">2</w:t>
      </w:r>
      <w:r>
        <w:t xml:space="preserve"> </w:t>
      </w:r>
      <w:r>
        <w:t xml:space="preserve">= (6 + 9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Y3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1776 мкс на выводе P1.3 (таймер 1).</w:t>
      </w:r>
    </w:p>
    <w:p>
      <w:pPr>
        <w:pStyle w:val="Figure"/>
      </w:pPr>
      <w:r>
        <w:drawing>
          <wp:inline>
            <wp:extent cx="5939999" cy="1945479"/>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1945479"/>
                    </a:xfrm>
                    <a:prstGeom prst="rect">
                      <a:avLst/>
                    </a:prstGeom>
                    <a:noFill/>
                    <a:ln w="9525">
                      <a:noFill/>
                      <a:headEnd/>
                      <a:tailEnd/>
                    </a:ln>
                  </pic:spPr>
                </pic:pic>
              </a:graphicData>
            </a:graphic>
          </wp:inline>
        </w:drawing>
      </w:r>
    </w:p>
    <w:p>
      <w:pPr>
        <w:pStyle w:val="ImageCaption"/>
      </w:pPr>
      <w:r>
        <w:t xml:space="preserve">Рисунок 10 —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(C5–C17,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Рисунок 11 —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17.10.26).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17.10.26).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17.10.26).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17.10.26).</w:t>
      </w:r>
    </w:p>
    <w:p>
      <w:pPr>
        <w:pStyle w:val="Compact"/>
        <w:numPr>
          <w:ilvl w:val="0"/>
          <w:numId w:val="1002"/>
        </w:numPr>
      </w:pPr>
      <w:r>
        <w:t xml:space="preserve">74AC573. Octal D-Type Latch with 3-STATE Outputs : datasheet. — Текст : электронный // onsemi : [сайт]. — URL: https://www.onsemi.com (дата обращения: 17.10.26).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17.10.26).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17.10.26).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C5–C17</w:t>
            </w:r>
          </w:p>
        </w:tc>
        <w:tc>
          <w:tcPr/>
          <w:p>
            <w:pPr>
              <w:pStyle w:val="Compact"/>
            </w:pPr>
            <w:r>
              <w:t xml:space="preserve">К10-17Б 33 нФ ±10 % 50 В</w:t>
            </w:r>
          </w:p>
        </w:tc>
        <w:tc>
          <w:tcPr/>
          <w:p>
            <w:pPr>
              <w:pStyle w:val="Compact"/>
            </w:pPr>
            <w:r>
              <w:t xml:space="preserve">13</w:t>
            </w:r>
          </w:p>
        </w:tc>
        <w:tc>
          <w:tcPr/>
          <w:p>
            <w:pPr>
              <w:pStyle w:val="Compact"/>
            </w:pPr>
          </w:p>
        </w:tc>
      </w:tr>
      <w:tr>
        <w:tc>
          <w:tcPr/>
          <w:p>
            <w:pPr>
              <w:pStyle w:val="Compact"/>
            </w:pPr>
            <w:r>
              <w:t xml:space="preserve">C18–C21</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DD8</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r>
              <w:t xml:space="preserve">DD11–DD13</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R6–R10</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R11–R18</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Рисунок Б.1 — Схема электрическая принципиальная (группа А-06-23, вариант 9,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708"/>
      <w:jc w:val="left"/>
      <w:outlineLvl w:val="0"/>
    </w:pPr>
    <w:rPr>
      <w:rFonts w:ascii="Times New Roman" w:cs="Times New Roman" w:eastAsia="Times New Roman" w:hAnsi="Times New Roman"/>
      <w:b/>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2026-10-28T17:47:18Z</dcterms:created>
  <dcterms:modified xsi:type="dcterms:W3CDTF">2026-10-28T17:47:18Z</dcterms:modified>
</cp:coreProperties>
</file>

<file path=docProps/custom.xml><?xml version="1.0" encoding="utf-8"?>
<Properties xmlns="http://schemas.openxmlformats.org/officeDocument/2006/custom-properties" xmlns:vt="http://schemas.openxmlformats.org/officeDocument/2006/docPropsVTypes"/>
</file>