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Рязанцев И.В.</w:t>
            </w:r>
          </w:p>
          <w:p>
            <w:pPr>
              <w:spacing w:before="56" w:after="0"/>
              <w:ind w:left="5386" w:firstLine="0"/>
              <w:jc w:val="left"/>
              <w:rPr>
                <w:sz w:val="28"/>
              </w:rPr>
            </w:pPr>
            <w:r>
              <w:rPr>
                <w:sz w:val="28"/>
              </w:rPr>
              <w:t xml:space="preserve">Группа: А-12-23</w:t>
            </w:r>
          </w:p>
          <w:p>
            <w:pPr>
              <w:spacing w:before="56" w:after="0"/>
              <w:ind w:left="5386" w:firstLine="0"/>
              <w:jc w:val="left"/>
              <w:rPr>
                <w:sz w:val="28"/>
              </w:rPr>
            </w:pPr>
            <w:r>
              <w:rPr>
                <w:sz w:val="28"/>
              </w:rPr>
              <w:t xml:space="preserve">Вариант: 17</w:t>
            </w:r>
          </w:p>
          <w:p>
            <w:pPr>
              <w:spacing w:before="56" w:after="0"/>
              <w:ind w:left="5386" w:firstLine="0"/>
              <w:jc w:val="left"/>
              <w:rPr>
                <w:sz w:val="28"/>
              </w:rPr>
            </w:pPr>
            <w:r>
              <w:rPr>
                <w:sz w:val="28"/>
              </w:rPr>
              <w:t xml:space="preserve">Дата: 28.10.26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17, группа А-12-23), выполнены расчёты элементов сопряжения и построены временные диаграммы обмена МК с буфером.</w:t>
      </w:r>
    </w:p>
    <w:p>
      <w:pPr>
        <w:pStyle w:val="BodyText"/>
      </w:pPr>
      <w:r>
        <w:t xml:space="preserve">В курсовой работе разрабатывается микропроцессорная система на однокристальной ЭВМ AT89S53, которая принимает отсчёты X2 от внешнего устройства, складывает их в кольцевой буфер на двухпортовом ОЗУ IDT7005 и по ним вычисляет выходную величину Y2. Оператор работает с системой через матричную клавиатуру 3×4 (вариант нечётный, поэтому три столбца и четыре строки) и семисегментный индикатор FYS-5612BX с общим анодом. В моём варианте (группа А-12, M = 17) буфер занимает 1774 байта, Y2 считается как (29 + X1 + X2) mod 256 и выдаётся в регистр со стробом длительностью 2422 мкс на P1.4, а строб Y1 длительностью 361 мс формируется на P1.3. Все внешние устройства выбираются через дешифратор 74HC138, который включается сигналом CS_EN с вывода P3.4.</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Рисунок 1 —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Рисунок 2 —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P1.3</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361 мс</w:t>
            </w:r>
          </w:p>
        </w:tc>
      </w:tr>
      <w:tr>
        <w:tc>
          <w:tcPr/>
          <w:p>
            <w:pPr>
              <w:pStyle w:val="Compact"/>
            </w:pPr>
            <w:r>
              <w:t xml:space="preserve">P1.4</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2422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361 мс и</w:t>
            </w:r>
            <w:r>
              <w:t xml:space="preserve"> </w:t>
            </w:r>
            <w:r>
              <w:rPr>
                <w:i/>
                <w:iCs/>
              </w:rPr>
              <w:t xml:space="preserve">T</w:t>
            </w:r>
            <w:r>
              <w:rPr>
                <w:vertAlign w:val="subscript"/>
              </w:rPr>
              <w:t xml:space="preserve">3</w:t>
            </w:r>
            <w:r>
              <w:t xml:space="preserve"> </w:t>
            </w:r>
            <w:r>
              <w:t xml:space="preserve">= 3,190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2422 мкс</w:t>
            </w:r>
          </w:p>
        </w:tc>
      </w:tr>
      <w:tr>
        <w:tc>
          <w:tcPr/>
          <w:p>
            <w:pPr>
              <w:pStyle w:val="Compact"/>
            </w:pPr>
            <w:r>
              <w:t xml:space="preserve">Внутреннее ОЗУ</w:t>
            </w:r>
          </w:p>
        </w:tc>
        <w:tc>
          <w:tcPr/>
          <w:p>
            <w:pPr>
              <w:pStyle w:val="Compact"/>
            </w:pPr>
            <w:r>
              <w:t xml:space="preserve">указатели буфера «голова» 47h, «хвост» 49h; флаги пустоты 22h.1 и переполнения 23h.5;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Рисунок 3 —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100 кОм · 1 мкФ = 100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Рисунок 4 —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Клавиатура</w:t>
            </w:r>
          </w:p>
        </w:tc>
        <w:tc>
          <w:tcPr/>
          <w:p>
            <w:pPr>
              <w:pStyle w:val="Compact"/>
            </w:pPr>
            <w:r>
              <w:t xml:space="preserve">2000h–3FFFh</w:t>
            </w:r>
          </w:p>
        </w:tc>
      </w:tr>
      <w:tr>
        <w:tc>
          <w:tcPr/>
          <w:p>
            <w:pPr>
              <w:pStyle w:val="Compact"/>
            </w:pPr>
            <w:r>
              <w:t xml:space="preserve">Y2</w:t>
            </w:r>
          </w:p>
        </w:tc>
        <w:tc>
          <w:tcPr/>
          <w:p>
            <w:pPr>
              <w:pStyle w:val="Compact"/>
            </w:pPr>
            <w:r>
              <w:t xml:space="preserve">не используется</w:t>
            </w:r>
          </w:p>
        </w:tc>
        <w:tc>
          <w:tcPr/>
          <w:p>
            <w:pPr>
              <w:pStyle w:val="Compact"/>
            </w:pPr>
            <w:r>
              <w:t xml:space="preserve">4000h–5FFFh</w:t>
            </w:r>
          </w:p>
        </w:tc>
      </w:tr>
      <w:tr>
        <w:tc>
          <w:tcPr/>
          <w:p>
            <w:pPr>
              <w:pStyle w:val="Compact"/>
            </w:pPr>
            <w:r>
              <w:t xml:space="preserve">Y3</w:t>
            </w:r>
          </w:p>
        </w:tc>
        <w:tc>
          <w:tcPr/>
          <w:p>
            <w:pPr>
              <w:pStyle w:val="Compact"/>
            </w:pPr>
            <w:r>
              <w:t xml:space="preserve">не используется</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Буфер (IDT7005)</w:t>
            </w:r>
          </w:p>
        </w:tc>
        <w:tc>
          <w:tcPr/>
          <w:p>
            <w:pPr>
              <w:pStyle w:val="Compact"/>
            </w:pPr>
            <w:r>
              <w:t xml:space="preserve">0A000h–0BFFFh</w:t>
            </w:r>
          </w:p>
        </w:tc>
      </w:tr>
      <w:tr>
        <w:tc>
          <w:tcPr/>
          <w:p>
            <w:pPr>
              <w:pStyle w:val="Compact"/>
            </w:pPr>
            <w:r>
              <w:t xml:space="preserve">Y6</w:t>
            </w:r>
          </w:p>
        </w:tc>
        <w:tc>
          <w:tcPr/>
          <w:p>
            <w:pPr>
              <w:pStyle w:val="Compact"/>
            </w:pPr>
            <w:r>
              <w:t xml:space="preserve">Индикатор</w:t>
            </w:r>
          </w:p>
        </w:tc>
        <w:tc>
          <w:tcPr/>
          <w:p>
            <w:pPr>
              <w:pStyle w:val="Compact"/>
            </w:pPr>
            <w:r>
              <w:t xml:space="preserve">0C000h–0DFFFh</w:t>
            </w:r>
          </w:p>
        </w:tc>
      </w:tr>
      <w:tr>
        <w:tc>
          <w:tcPr/>
          <w:p>
            <w:pPr>
              <w:pStyle w:val="Compact"/>
            </w:pPr>
            <w:r>
              <w:t xml:space="preserve">Y7</w:t>
            </w:r>
          </w:p>
        </w:tc>
        <w:tc>
          <w:tcPr/>
          <w:p>
            <w:pPr>
              <w:pStyle w:val="Compact"/>
            </w:pPr>
            <w:r>
              <w:t xml:space="preserve">Регистр Y2</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строб Y1</w:t>
            </w:r>
          </w:p>
        </w:tc>
        <w:tc>
          <w:tcPr/>
          <w:p>
            <w:pPr>
              <w:pStyle w:val="Compact"/>
            </w:pPr>
            <w:r>
              <w:t xml:space="preserve">выход</w:t>
            </w:r>
          </w:p>
        </w:tc>
      </w:tr>
      <w:tr>
        <w:tc>
          <w:tcPr/>
          <w:p>
            <w:pPr>
              <w:pStyle w:val="Compact"/>
            </w:pPr>
            <w:r>
              <w:t xml:space="preserve">5</w:t>
            </w:r>
          </w:p>
        </w:tc>
        <w:tc>
          <w:tcPr/>
          <w:p>
            <w:pPr>
              <w:pStyle w:val="Compact"/>
            </w:pPr>
            <w:r>
              <w:t xml:space="preserve">P1.4</w:t>
            </w:r>
          </w:p>
        </w:tc>
        <w:tc>
          <w:tcPr/>
          <w:p>
            <w:pPr>
              <w:pStyle w:val="Compact"/>
            </w:pPr>
            <w:r>
              <w:t xml:space="preserve">строб Y2</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не используется</w:t>
            </w:r>
          </w:p>
        </w:tc>
        <w:tc>
          <w:tcPr/>
          <w:p>
            <w:pPr>
              <w:pStyle w:val="Compact"/>
            </w:pPr>
            <w:r>
              <w:t xml:space="preserve">—</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Клавиатура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не используется</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не используется</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Буфер (IDT7005) (Y5)</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Индикатор (Y6)</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Регистр Y2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Рисунок 5 —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FYS-5612BX с общим анодом — сегмент горит при низком уровне на выходе регистра.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Рисунок 6 —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0C0h</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0F9h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2</w:t>
            </w:r>
          </w:p>
        </w:tc>
        <w:tc>
          <w:tcPr/>
          <w:p>
            <w:pPr>
              <w:pStyle w:val="Compact"/>
            </w:pPr>
            <w:r>
              <w:t xml:space="preserve">0A4h</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3</w:t>
            </w:r>
          </w:p>
        </w:tc>
        <w:tc>
          <w:tcPr/>
          <w:p>
            <w:pPr>
              <w:pStyle w:val="Compact"/>
            </w:pPr>
            <w:r>
              <w:t xml:space="preserve">0B0h</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4</w:t>
            </w:r>
          </w:p>
        </w:tc>
        <w:tc>
          <w:tcPr/>
          <w:p>
            <w:pPr>
              <w:pStyle w:val="Compact"/>
            </w:pPr>
            <w:r>
              <w:t xml:space="preserve">99h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5</w:t>
            </w:r>
          </w:p>
        </w:tc>
        <w:tc>
          <w:tcPr/>
          <w:p>
            <w:pPr>
              <w:pStyle w:val="Compact"/>
            </w:pPr>
            <w:r>
              <w:t xml:space="preserve">92h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6</w:t>
            </w:r>
          </w:p>
        </w:tc>
        <w:tc>
          <w:tcPr/>
          <w:p>
            <w:pPr>
              <w:pStyle w:val="Compact"/>
            </w:pPr>
            <w:r>
              <w:t xml:space="preserve">82h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7</w:t>
            </w:r>
          </w:p>
        </w:tc>
        <w:tc>
          <w:tcPr/>
          <w:p>
            <w:pPr>
              <w:pStyle w:val="Compact"/>
            </w:pPr>
            <w:r>
              <w:t xml:space="preserve">0F8h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8</w:t>
            </w:r>
          </w:p>
        </w:tc>
        <w:tc>
          <w:tcPr/>
          <w:p>
            <w:pPr>
              <w:pStyle w:val="Compact"/>
            </w:pPr>
            <w:r>
              <w:t xml:space="preserve">80h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9</w:t>
            </w:r>
          </w:p>
        </w:tc>
        <w:tc>
          <w:tcPr/>
          <w:p>
            <w:pPr>
              <w:pStyle w:val="Compact"/>
            </w:pPr>
            <w:r>
              <w:t xml:space="preserve">90h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E</w:t>
            </w:r>
          </w:p>
        </w:tc>
        <w:tc>
          <w:tcPr/>
          <w:p>
            <w:pPr>
              <w:pStyle w:val="Compact"/>
            </w:pPr>
            <w:r>
              <w:t xml:space="preserve">86h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выкл</w:t>
            </w:r>
          </w:p>
        </w:tc>
        <w:tc>
          <w:tcPr/>
          <w:p>
            <w:pPr>
              <w:pStyle w:val="Compact"/>
            </w:pPr>
            <w:r>
              <w:t xml:space="preserve">0FFh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1774 байт; для адресации нужно 11 разрядов (2</w:t>
      </w:r>
      <w:r>
        <w:rPr>
          <w:vertAlign w:val="superscript"/>
        </w:rPr>
        <w:t xml:space="preserve">11</w:t>
      </w:r>
      <w:r>
        <w:t xml:space="preserve"> </w:t>
      </w:r>
      <w:r>
        <w:t xml:space="preserve">= 2048 ≥ 1774), буфер занимает ячейки 0A000h–0A6EDh окна Y5.</w:t>
      </w:r>
    </w:p>
    <w:p>
      <w:pPr>
        <w:pStyle w:val="BodyText"/>
      </w:pPr>
      <w:r>
        <w:t xml:space="preserve">Буфером управляет МК: оба порта ОЗУ выбираются одним сигналом CS_buf (выход Y5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DD9),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0A000h–0A6EDh и обновляет флаги пустоты и переполнения. Читает отсчёты МК через левый порт по адресу «хвоста». Используются 11 младших адресных линий (V = 1774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Рисунок 7 — Подключение кольцевого буфера</w:t>
      </w:r>
    </w:p>
    <w:p>
      <w:pPr>
        <w:pStyle w:val="BodyText"/>
      </w:pPr>
      <w:r>
        <w:t xml:space="preserve">Проследим один отсчёт X2. Внешнее устройство выставляет байт на разъёме доступа к буферу и опускает строб — он приходит на INT1. Буфером управляет микроконтроллер: в обработчике он ставит в DPTR адрес «головы» и выполняет movx-запись; оба порта IDT7005 выбраны одним CS_buf и видят один и тот же адрес, но левый порт только читает, а правый по сигналу WR заносит в ячейку байт с разъёма — содержимое аккумулятора тут не важно. После записи МК сдвигает «голову» по кольцу 0A000h–0A6EDh (если кольцо было заполнено, вместе с ней сдвигается «хвост» и ставится флаг переполнения) и снимает флаг пустоты. Основная программа читает отсчёты левым портом по «хвосту» и считает по ним Y2; указатели и флаги живут только во внутренней памяти МК.</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8 —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9 —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По таблице сравнения видно, что IDT7005S55 заметно быстрее шины AT89S53 на 12 МГц: при чтении ОЗУ выдаёт данные за 30–55 нс, а МК ждёт их сотни наносекунд, при записи импульс WR (не меньше 400 нс) почти в десять раз длиннее требуемых 40 нс. Самый маленький запас — у удержания данных после фронта WR (33 нс при требовании не меньше нуля), но и он положительный. Поэтому буфер я подключаю к шине напрямую, без тактов ожидания и дополнительной логики.</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361 мс на выводе P1.3 (отсчёт — таймер 0). Сигнал</w:t>
      </w:r>
      <w:r>
        <w:t xml:space="preserve"> </w:t>
      </w:r>
      <w:r>
        <w:rPr>
          <w:i/>
          <w:iCs/>
        </w:rPr>
        <w:t xml:space="preserve">Y</w:t>
      </w:r>
      <w:r>
        <w:rPr>
          <w:vertAlign w:val="subscript"/>
        </w:rPr>
        <w:t xml:space="preserve">2</w:t>
      </w:r>
      <w:r>
        <w:t xml:space="preserve"> </w:t>
      </w:r>
      <w:r>
        <w:t xml:space="preserve">= (12 + 17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DD8 (74AC573, рисунок 10), выбираемый выходом Y7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2422 мкс на выводе P1.4 (таймер 1).</w:t>
      </w:r>
    </w:p>
    <w:p>
      <w:pPr>
        <w:pStyle w:val="Figure"/>
      </w:pPr>
      <w:r>
        <w:drawing>
          <wp:inline>
            <wp:extent cx="5939999" cy="2602921"/>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602921"/>
                    </a:xfrm>
                    <a:prstGeom prst="rect">
                      <a:avLst/>
                    </a:prstGeom>
                    <a:noFill/>
                    <a:ln w="9525">
                      <a:noFill/>
                      <a:headEnd/>
                      <a:tailEnd/>
                    </a:ln>
                  </pic:spPr>
                </pic:pic>
              </a:graphicData>
            </a:graphic>
          </wp:inline>
        </w:drawing>
      </w:r>
    </w:p>
    <w:p>
      <w:pPr>
        <w:pStyle w:val="ImageCaption"/>
      </w:pPr>
      <w:r>
        <w:t xml:space="preserve">Рисунок 10 —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Рисунок 11 —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28.10.26).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28.10.26).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28.10.26).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28.10.26).</w:t>
      </w:r>
    </w:p>
    <w:p>
      <w:pPr>
        <w:pStyle w:val="Compact"/>
        <w:numPr>
          <w:ilvl w:val="0"/>
          <w:numId w:val="1002"/>
        </w:numPr>
      </w:pPr>
      <w:r>
        <w:t xml:space="preserve">74AC573. Octal D-Type Latch with 3-STATE Outputs : datasheet. — Текст : электронный // onsemi : [сайт]. — URL: https://www.onsemi.com (дата обращения: 28.10.26).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28.10.26).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28.10.26).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DD8,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FYS-5612BX</w:t>
            </w:r>
          </w:p>
        </w:tc>
        <w:tc>
          <w:tcPr/>
          <w:p>
            <w:pPr>
              <w:pStyle w:val="Compact"/>
            </w:pPr>
            <w:r>
              <w:t xml:space="preserve">1</w:t>
            </w:r>
          </w:p>
        </w:tc>
        <w:tc>
          <w:tcPr/>
          <w:p>
            <w:pPr>
              <w:pStyle w:val="Compact"/>
            </w:pPr>
            <w:r>
              <w:t xml:space="preserve">Индикатор, общий анод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МЛТ-0,125 100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R6–R9, R18</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Рисунок Б.1 — Схема электрическая принципиальная (группа А-12-23, вариант 17,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708"/>
      <w:jc w:val="left"/>
      <w:outlineLvl w:val="0"/>
    </w:pPr>
    <w:rPr>
      <w:rFonts w:ascii="Times New Roman" w:cs="Times New Roman" w:eastAsia="Times New Roman" w:hAnsi="Times New Roman"/>
      <w:b/>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2026-10-28T10:56:37Z</dcterms:created>
  <dcterms:modified xsi:type="dcterms:W3CDTF">2026-10-28T10:56:37Z</dcterms:modified>
</cp:coreProperties>
</file>

<file path=docProps/custom.xml><?xml version="1.0" encoding="utf-8"?>
<Properties xmlns="http://schemas.openxmlformats.org/officeDocument/2006/custom-properties" xmlns:vt="http://schemas.openxmlformats.org/officeDocument/2006/docPropsVTypes"/>
</file>