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训练视角数量对 3D Gaussian Splatting</w:t>
        <w:br/>
        <w:t>新视角合成质量的影响</w:t>
      </w:r>
    </w:p>
    <w:p>
      <w:pPr>
        <w:keepNext w:val="0"/>
        <w:spacing w:after="1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深度学习课程设计　2026 年秋季</w:t>
      </w:r>
    </w:p>
    <w:p>
      <w:pPr>
        <w:keepNext w:val="0"/>
        <w:spacing w:after="200"/>
        <w:ind w:firstLine="0"/>
        <w:jc w:val="center"/>
      </w:pPr>
      <w:r>
        <w:t>学号：________________　姓名：________________</w:t>
      </w:r>
    </w:p>
    <w:p>
      <w:pPr>
        <w:keepNext w:val="0"/>
        <w:spacing w:after="14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19"/>
        </w:rPr>
        <w:t>代码与实验记录：</w:t>
      </w:r>
      <w:hyperlink r:id="rId10">
        <w:r>
          <w:rPr>
            <w:sz w:val="19"/>
            <w:rFonts w:ascii="Times New Roman" w:hAnsi="Times New Roman"/>
          </w:rPr>
          <w:t>https://github.com/wwwwwwcy/3dgs-view-count-study</w:t>
        </w:r>
      </w:hyperlink>
    </w:p>
    <w:p>
      <w:pPr>
        <w:keepNext w:val="0"/>
        <w:spacing w:after="60"/>
        <w:ind w:firstLine="0"/>
      </w:pPr>
      <w:r>
        <w:rPr>
          <w:rFonts w:ascii="Times New Roman" w:hAnsi="Times New Roman" w:cs="Times New Roman" w:eastAsia="宋体"/>
          <w:b/>
          <w:color w:val="000000"/>
          <w:sz w:val="22"/>
        </w:rPr>
        <w:t>摘要</w:t>
      </w:r>
    </w:p>
    <w:p>
      <w:pPr>
        <w:keepNext w:val="0"/>
        <w:spacing w:after="10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本文研究已知相机参数条件下，训练视角数量对 3D Gaussian Splatting 新视角合成质量的影响。基于 Nerfstudio 的 Splatfacto，在公开 NeRF Synthetic Lego 场景上构造 10、20、40 个视角的嵌套训练集，共用随机初始化点云，以相同分辨率和 30000 步预算训练，并在固定 200 个测试视角上评估。三组平均 PSNR 分别为 25.8787、30.3059、34.6534 dB，SSIM 和 LPIPS 也随视角增加而改善。对照图显示，稀疏组更容易出现镂空区域误填、凸点纹理模糊和边缘伪影。结论仅针对本次单场景、单种子实验，不代表每个测试视角都会改善。</w:t>
      </w:r>
    </w:p>
    <w:p>
      <w:pPr>
        <w:keepNext w:val="0"/>
        <w:spacing w:after="10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关键词：3D Gaussian Splatting；Splatfacto；训练视角数量；新视角合成</w:t>
      </w:r>
    </w:p>
    <w:p>
      <w:pPr>
        <w:pStyle w:val="Heading1"/>
      </w:pPr>
      <w:r>
        <w:t>1 研究问题与相关工作</w:t>
      </w:r>
    </w:p>
    <w:p>
      <w:pPr>
        <w:keepNext w:val="0"/>
        <w:ind w:firstLine="440"/>
      </w:pPr>
      <w:r>
        <w:t>新视角合成要求模型根据一组已知视角图像，生成未参与训练的相机视角图像。实际采集时，照片数量受时间和设备条件限制；减少训练视角会降低数据获取成本，也可能使遮挡背面、细杆和孔洞等区域缺少充分约束。因此，本文把问题限定为：同一场景在相同训练步数下，使用多少个已知位姿视角，会怎样影响测试图像质量，哪些局部区域最容易失真？</w:t>
      </w:r>
    </w:p>
    <w:p>
      <w:pPr>
        <w:keepNext w:val="0"/>
        <w:ind w:firstLine="440"/>
      </w:pPr>
      <w:r>
        <w:t>3DGS 使用可优化的三维高斯表达场景，并通过可微光栅化拟合训练图像[1]。本文选择 Splatfacto，是因为其训练、渲染和评估接口便于形成完整实验流程。它属于 Nerfstudio 中的 3DGS 实现，底层使用 gsplat[2–4]，与原论文的 INRIA 训练代码并非同一实现。FSGS 等工作专门研究少视角合成[6]；本文只将其作为相关研究，不复现其方法，也不声称提出新算法。</w:t>
      </w:r>
    </w:p>
    <w:p>
      <w:pPr>
        <w:pStyle w:val="Heading1"/>
      </w:pPr>
      <w:r>
        <w:t>2 方法原理</w:t>
      </w:r>
    </w:p>
    <w:p>
      <w:pPr>
        <w:keepNext w:val="0"/>
        <w:ind w:firstLine="440"/>
      </w:pPr>
      <w:r>
        <w:t>每个三维高斯包含中心、尺度、旋转、不透明度和颜色等可学习参数。高斯经相机投影后在图像平面形成椭圆足迹，按深度进行透明度合成。Splatfacto 通过训练图与渲染图的光度误差反向传播，更新这些参数；颜色使用最高三阶球谐系数，以表达随观察方向变化的外观。训练过程中同时进行自适应增密和裁剪。</w:t>
      </w:r>
    </w:p>
    <w:p>
      <w:pPr>
        <w:keepNext w:val="0"/>
        <w:ind w:firstLine="440"/>
      </w:pPr>
      <w:r>
        <w:t>本实验采用实现中的默认光度损失组合：平均绝对误差与结构相似性损失的权重分别为 0.8 和 0.2。主要方法设置保持一致，只改变训练图像数量。由此比较的是既定实现与固定优化预算下的整体效果，而非一种新网络或严格相同最终参数量下的效果。</w:t>
      </w:r>
    </w:p>
    <w:p>
      <w:pPr>
        <w:pStyle w:val="Heading1"/>
        <w:pageBreakBefore/>
        <w:spacing w:before="0"/>
      </w:pPr>
      <w:r>
        <w:t>3 数据与实验设计</w:t>
      </w:r>
    </w:p>
    <w:p>
      <w:pPr>
        <w:pStyle w:val="Heading2"/>
      </w:pPr>
      <w:r>
        <w:t>3.1 公开数据与任务边界</w:t>
      </w:r>
    </w:p>
    <w:p>
      <w:pPr>
        <w:keepNext w:val="0"/>
        <w:ind w:firstLine="440"/>
      </w:pPr>
      <w:r>
        <w:t>数据采用 NeRF 作者公开的 Synthetic 数据集 Lego 场景[5]。原始数据包含 100 张训练图、100 张验证图、200 张测试图，均为 800×800 RGBA 合成图，并提供 Blender 相机内外参数。下载作者公开归档后只提取 Lego，训练和评估统一缩放为 400×400，将透明区域合成为白色背景。</w:t>
      </w:r>
    </w:p>
    <w:p>
      <w:pPr>
        <w:keepNext w:val="0"/>
        <w:ind w:firstLine="440"/>
      </w:pPr>
      <w:r>
        <w:t>所有组直接使用公开的真实相机参数，不从少量照片重新估计位姿。因此，本研究回答的是“已知相机条件下的少视角外观学习”问题，不能表述为严格只输入 10、20 或 40 张照片的端到端三维重建。</w:t>
      </w:r>
    </w:p>
    <w:p>
      <w:pPr>
        <w:pStyle w:val="Heading2"/>
      </w:pPr>
      <w:r>
        <w:t>3.2 嵌套训练子集与固定测试集</w:t>
      </w:r>
    </w:p>
    <w:p>
      <w:pPr>
        <w:keepNext w:val="0"/>
        <w:ind w:firstLine="440"/>
      </w:pPr>
      <w:r>
        <w:t>在原 100 个训练候选相机中心归一化后，以原索引 0 为起点，按方向最远点遍历依次选取相机；分别取序列前 10、20、40 项，形成嵌套子集，尽量覆盖相近观察范围。该选择使用全部候选训练相机的参数，但不使用测试图像的误差或质量指标。准确图像清单保存于 lego-splits.json。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230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-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0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三组训练相机的覆盖情况　灰色点为固定测试相机</w:t>
      </w:r>
    </w:p>
    <w:p>
      <w:pPr>
        <w:keepNext w:val="0"/>
        <w:ind w:firstLine="440"/>
      </w:pPr>
      <w:r>
        <w:t>三组均在原测试集的全部 200 张图上评估，测试图不参与训练或调参。训练与测试相机不重合；200 个测试相机位姿逐一核对为不同位姿。首次 1000 步试跑仅使用独立验证集中的 8 张图检查流程，不纳入本文正式结果。</w:t>
      </w:r>
    </w:p>
    <w:p>
      <w:pPr>
        <w:pStyle w:val="Heading2"/>
      </w:pPr>
      <w:r>
        <w:t>3.3 初始化与预算控制</w:t>
      </w:r>
    </w:p>
    <w:p>
      <w:pPr>
        <w:keepNext w:val="0"/>
        <w:ind w:firstLine="440"/>
      </w:pPr>
      <w:r>
        <w:t>为避免全量图片生成的 SfM 点云提供额外几何信息，三组共用同一份与图像无关的随机点云：在 [−1.5, 1.5]³ 中均匀采样 10000 点，颜色统一为灰色，NumPy PCG64 种子为 42。该 PLY 文件及其 SHA-256 在训练前校验；各组从头训练，不加载试跑模型。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控制项</w:t>
            </w:r>
          </w:p>
        </w:tc>
        <w:tc>
          <w:tcPr>
            <w:tcW w:type="dxa" w:w="765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统一设置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图像与测试集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400×400　白背景　固定 200 张测试图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优化预算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每组 30000 步　随机种子 42　最终检查点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初始化与相机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同一随机点云　已知相机　关闭相机优化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模型与执行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三阶球谐　相同增密和裁剪设置　CPU 线程 4</w:t>
            </w:r>
          </w:p>
        </w:tc>
      </w:tr>
    </w:tbl>
    <w:p>
      <w:pPr>
        <w:keepNext w:val="0"/>
        <w:spacing w:before="80" w:after="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固定步数不等于每张图像获得相同更新次数，也不等于相同耗时或算力消耗；最终高斯数量由自适应训练决定，本文另外记录这一规模差异。</w:t>
      </w:r>
    </w:p>
    <w:p>
      <w:pPr>
        <w:pStyle w:val="Heading1"/>
        <w:pageBreakBefore/>
        <w:spacing w:before="0"/>
      </w:pPr>
      <w:r>
        <w:t>4 设计实现与评价方法</w:t>
      </w:r>
    </w:p>
    <w:p>
      <w:pPr>
        <w:pStyle w:val="Heading2"/>
      </w:pPr>
      <w:r>
        <w:t>4.1 实际运行环境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65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本次实验环境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计算机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Intel Core i7-12700H　内存约 15.7 GiB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显卡与驱动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RTX 3070 Ti Laptop GPU　8 GB　592.27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系统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Windows 11　WSL2　Ubuntu 22.04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Python 与 PyTorch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Python 3.10.22　PyTorch 2.1.2+cu118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渲染与训练框架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gsplat 1.4.0+pt21cu118　Nerfstudio 1.1.5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其他关键依赖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torchvision 0.16.2+cu118　NumPy 1.26.4</w:t>
            </w:r>
          </w:p>
        </w:tc>
      </w:tr>
    </w:tbl>
    <w:p>
      <w:pPr>
        <w:keepNext w:val="0"/>
        <w:spacing w:before="80" w:after="120"/>
        <w:ind w:firstLine="440"/>
      </w:pPr>
      <w:r>
        <w:t>训练运行在独立 Conda 环境 splat-course 中，使用 PyTorch 携带的 CUDA 11.8 运行时与匹配的 gsplat 预编译包。关闭 torch.compile，图像以 uint8 缓存到 CPU。日志中保留了 cuDNN 缺少 nvrtc 时的回退提示；三组在同一环境下均完成训练和评估。</w:t>
      </w:r>
    </w:p>
    <w:p>
      <w:pPr>
        <w:pStyle w:val="Heading2"/>
      </w:pPr>
      <w:r>
        <w:t>4.2 项目实现与执行流程</w:t>
      </w:r>
    </w:p>
    <w:p>
      <w:pPr>
        <w:keepNext w:val="0"/>
        <w:ind w:firstLine="440"/>
      </w:pPr>
      <w:r>
        <w:t>项目在上游训练器之外实现了数据下载与校验、嵌套划分、随机点云生成、实验调度、逐图评价及绘图。调度脚本在启动前核对依赖版本、划分、初始化和主要配置，并将协议与执行代码快照写入运行目录。各组主要模型和优化配置的指纹一致。</w:t>
      </w:r>
    </w:p>
    <w:p>
      <w:pPr>
        <w:keepNext w:val="0"/>
        <w:ind w:firstLine="440"/>
      </w:pPr>
      <w:r>
        <w:t>执行顺序为 10、20、40 视角分别训练；三组全部成功后，才在正式测试集上运行评估和导出。每组统一采用最终第 29999 步检查点，即已完成 30000 次迭代，不根据测试分数挑选最佳模型。训练、评估、导出共 9 个阶段全部正常退出。</w:t>
      </w:r>
    </w:p>
    <w:p>
      <w:pPr>
        <w:pStyle w:val="Heading2"/>
      </w:pPr>
      <w:r>
        <w:t>4.3 图像指标与资源记录</w:t>
      </w:r>
    </w:p>
    <w:p>
      <w:pPr>
        <w:keepNext w:val="0"/>
        <w:ind w:firstLine="440"/>
      </w:pPr>
      <w:r>
        <w:t>评价脚本复用 Nerfstudio 模型的 PSNR、SSIM 和 LPIPS 实现，在量化为 PNG 之前的浮点 RGB 上计算。PSNR 依据归一化图像的均方误差计算，单位为 dB，越高越好；SSIM 衡量局部结构相似性，越高越好；LPIPS 使用预训练 AlexNet 特征衡量感知差异，越低越好。AlexNet 权重仅用于评价，并非预训练的三维场景模型。</w:t>
      </w:r>
    </w:p>
    <w:p>
      <w:pPr>
        <w:spacing w:after="100"/>
        <w:jc w:val="center"/>
      </w:pPr>
      <m:oMath>
        <m:r>
          <w:rPr>
            <w:rFonts w:ascii="Cambria Math" w:hAnsi="Cambria Math"/>
          </w:rPr>
          <m:t>PSNR = −10 log₁₀(MSE)</m:t>
        </m:r>
      </m:oMath>
    </w:p>
    <w:p>
      <w:pPr>
        <w:keepNext w:val="0"/>
        <w:ind w:firstLine="440"/>
      </w:pPr>
      <w:r>
        <w:t>逐图计算后对 200 张测试图取算术平均，因此报告中的平均 PSNR 不是先合并所有图像 MSE 再换算的数值。评价脚本先在试跑验证图上与 ns-eval 结果核对一致。另记录训练进程单调计时、系统起止时刻跨度、导出 PLY 字节数和最终高斯数量；训练计时含进程启动及加载，不含评估与导出。</w:t>
      </w:r>
    </w:p>
    <w:p>
      <w:pPr>
        <w:pStyle w:val="Heading2"/>
      </w:pPr>
      <w:r>
        <w:t>4.4 可追溯记录</w:t>
      </w:r>
    </w:p>
    <w:p>
      <w:pPr>
        <w:keepNext w:val="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正式运行编号为 20261027_134747_lego_main，上游提交为 6b60855003011b2ca23c2fe3f8e2ca6314c69924。复现入口见 README.md 中的 06_run_experiments.sh 与 07_analyze_experiments.sh，精确命令在 session.json。项目保留依赖、配置、种子、划分、日志、模型及其校验值，可由 summary.json 和 per-view.csv 重新汇总结果。</w:t>
      </w:r>
    </w:p>
    <w:p>
      <w:pPr>
        <w:pStyle w:val="Heading1"/>
        <w:pageBreakBefore/>
        <w:spacing w:before="0"/>
      </w:pPr>
      <w:r>
        <w:t>5 实验结果与定量分析</w:t>
      </w:r>
    </w:p>
    <w:p>
      <w:pPr>
        <w:keepNext w:val="0"/>
        <w:spacing w:after="100"/>
        <w:ind w:firstLine="440"/>
      </w:pPr>
      <w:r>
        <w:t>表 1 汇总全部固定测试图的平均指标；图 2 展示相同数据的变化趋势。结果来自各组实际完成的正式训练，未使用试跑验证分数。</w:t>
      </w:r>
    </w:p>
    <w:p>
      <w:pPr>
        <w:pStyle w:val="Caption"/>
        <w:jc w:val="center"/>
      </w:pPr>
      <w:r>
        <w:t>表 1　固定 200 个测试视角上的平均图像质量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2721"/>
        <w:gridCol w:w="2721"/>
        <w:gridCol w:w="2665"/>
      </w:tblGrid>
      <w:tr>
        <w:trPr>
          <w:cantSplit/>
          <w:tblHeader/>
        </w:trPr>
        <w:tc>
          <w:tcPr>
            <w:tcW w:type="dxa" w:w="1531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0"/>
              </w:rPr>
              <w:t>训练视角</w:t>
            </w:r>
          </w:p>
        </w:tc>
        <w:tc>
          <w:tcPr>
            <w:tcW w:type="dxa" w:w="2721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0"/>
              </w:rPr>
              <w:t>PSNR / dB ↑</w:t>
            </w:r>
          </w:p>
        </w:tc>
        <w:tc>
          <w:tcPr>
            <w:tcW w:type="dxa" w:w="2721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0"/>
              </w:rPr>
              <w:t>SSIM ↑</w:t>
            </w:r>
          </w:p>
        </w:tc>
        <w:tc>
          <w:tcPr>
            <w:tcW w:type="dxa" w:w="2665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0"/>
              </w:rPr>
              <w:t>LPIPS ↓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25.8787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0.893821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0.056021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30.3059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0.949295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0.024294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34.6534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0.979561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0"/>
              </w:rPr>
              <w:t>0.010686</w:t>
            </w:r>
          </w:p>
        </w:tc>
      </w:tr>
    </w:tbl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34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vs-vi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训练视角数量与测试图像质量　连线仅用于展示本次三个观测点</w:t>
      </w:r>
    </w:p>
    <w:p>
      <w:pPr>
        <w:keepNext w:val="0"/>
        <w:ind w:firstLine="440"/>
      </w:pPr>
      <w:r>
        <w:t>从 10 增至 20 个视角，平均 PSNR 提升 4.4271 dB；从 20 增至 40 个视角，再提升 4.3476 dB。40 视角相对 10 视角累计提升 8.7747 dB，同时 SSIM 从 0.893821 提升至 0.979561，LPIPS 从 0.056021 降至 0.010686。在本次设置下，三个指标共同支持更多训练视角带来更好的平均新视角质量。</w:t>
      </w:r>
    </w:p>
    <w:p>
      <w:pPr>
        <w:keepNext w:val="0"/>
        <w:ind w:firstLine="440"/>
      </w:pPr>
      <w:r>
        <w:t>平均值不能代表每一张图：40 相比 20 视角的 PSNR 在 191/200 张图上更高，仍有 9 张更低；40 相比 10 视角也有 2 张 PSNR 更低。三组的逐图 PSNR 标准差分别为 2.5947、2.7993、3.4866 dB，只反映测试视角之间的难度差异，不是重复训练的不确定性或置信区间。</w:t>
      </w:r>
    </w:p>
    <w:p>
      <w:pPr>
        <w:pStyle w:val="Caption"/>
        <w:jc w:val="center"/>
      </w:pPr>
      <w:r>
        <w:t>表 2　训练时间记录与导出模型规模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2211"/>
        <w:gridCol w:w="2211"/>
        <w:gridCol w:w="1928"/>
        <w:gridCol w:w="2154"/>
      </w:tblGrid>
      <w:tr>
        <w:trPr>
          <w:cantSplit/>
          <w:tblHeader/>
        </w:trPr>
        <w:tc>
          <w:tcPr>
            <w:tcW w:type="dxa" w:w="113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视角数</w:t>
            </w:r>
          </w:p>
        </w:tc>
        <w:tc>
          <w:tcPr>
            <w:tcW w:type="dxa" w:w="2211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单调计时 / s</w:t>
            </w:r>
          </w:p>
        </w:tc>
        <w:tc>
          <w:tcPr>
            <w:tcW w:type="dxa" w:w="2211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起止跨度 / s</w:t>
            </w:r>
          </w:p>
        </w:tc>
        <w:tc>
          <w:tcPr>
            <w:tcW w:type="dxa" w:w="1928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PLY / MiB</w:t>
            </w:r>
          </w:p>
        </w:tc>
        <w:tc>
          <w:tcPr>
            <w:tcW w:type="dxa" w:w="2154"/>
            <w:vAlign w:val="center"/>
            <w:shd w:fill="E8EEF3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高斯数量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474.19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474.20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8.914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37685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514.17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1493.98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9.243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39073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483.22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483.23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8.723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19"/>
              </w:rPr>
              <w:t>36876</w:t>
            </w:r>
          </w:p>
        </w:tc>
      </w:tr>
    </w:tbl>
    <w:p>
      <w:pPr>
        <w:keepNext w:val="0"/>
        <w:spacing w:before="8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20 视角组的单调计时为 514.17 s，而系统起止时刻跨度为 1493.98 s，两者相差约 979.81 s，具体原因未确定。本文如实保留两类计时，不据此对三组作严格速度排序。MiB 按 2²⁰ 字节计算，模型大小统一采用导出高斯 PLY，训练检查点大小另行归档。</w:t>
      </w:r>
    </w:p>
    <w:p>
      <w:pPr>
        <w:keepNext w:val="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40 视角组的高斯数量和 PLY 大小略低于另外两组，但质量更高，说明此次改善并不伴随最终高斯数量的简单增加。由于增密和裁剪是自适应过程，本文仍不能将其解释为严格控制模型容量后的单一因素因果结论。</w:t>
      </w:r>
    </w:p>
    <w:p>
      <w:pPr>
        <w:pStyle w:val="Heading1"/>
        <w:pageBreakBefore/>
        <w:spacing w:before="0"/>
      </w:pPr>
      <w:r>
        <w:t>6 同视角渲染与局部分析</w:t>
      </w:r>
    </w:p>
    <w:p>
      <w:pPr>
        <w:keepNext w:val="0"/>
        <w:spacing w:after="12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为避免按渲染结果挑图，协议预先固定测试索引 0、50、100、150；本文展示其中 0 和 100。每幅图按“真实图、10、20、40 视角”排列，上行为全图，下行为同坐标局部放大。裁剪中心取自真实图前景包围盒，宽和高各为包围盒的 40%，各组一致。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3417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view-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1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测试视角 0　10 视角组在中央镂空处出现错误填色，凸点和平台纹理较模糊；40 视角更接近真实图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332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view-0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　测试视角 100　少视角组在窗框与细杆周围出现误填和边缘拖影，增加视角后有所减轻</w:t>
      </w:r>
    </w:p>
    <w:p>
      <w:pPr>
        <w:keepNext w:val="0"/>
        <w:spacing w:after="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0"/>
        </w:rPr>
        <w:t>这些区域涉及细小结构、遮挡边界或孔洞；多角度观测可能提供更充分的约束。不过，仅由 RGB 渲染图可确认的是可见外观失真，不能证明伪影的三维位置或唯一成因。本文未计算几何误差，也不将彩色漂浮状斑块直接等同于已验证的几何错误。</w:t>
      </w:r>
    </w:p>
    <w:p>
      <w:pPr>
        <w:pStyle w:val="Heading1"/>
        <w:pageBreakBefore/>
        <w:spacing w:before="0"/>
      </w:pPr>
      <w:r>
        <w:t>7 分析思考与结论</w:t>
      </w:r>
    </w:p>
    <w:p>
      <w:pPr>
        <w:pStyle w:val="Heading2"/>
      </w:pPr>
      <w:r>
        <w:t>7.1 结果解释与局限</w:t>
      </w:r>
    </w:p>
    <w:p>
      <w:pPr>
        <w:keepNext w:val="0"/>
        <w:ind w:firstLine="440"/>
      </w:pPr>
      <w:r>
        <w:t>定量指标与同视角对照给出一致证据：在本次 Lego 场景中，增加训练视角后，平均图像质量提升，镂空区域误填和局部细节模糊减轻。一种合理解释是，更多方向的观测使颜色和可见性获得更充分约束；但本文没有额外消融实验来分离视角数量、空间覆盖和优化过程各自的作用。</w:t>
      </w:r>
    </w:p>
    <w:p>
      <w:pPr>
        <w:keepNext w:val="0"/>
        <w:ind w:firstLine="440"/>
      </w:pPr>
      <w:r>
        <w:t>实验只有一个合成场景和一个训练种子，不能推广到真实拍摄、复杂背景或全部随机初始化。已知真实相机参数降低了任务难度；三组又采用覆盖较广的嵌套子集，因此结果不代表相同数量但集中在一侧的照片。白色背景在全图指标中占较大比例，局部细节仍需结合放大图分析。</w:t>
      </w:r>
    </w:p>
    <w:p>
      <w:pPr>
        <w:keepNext w:val="0"/>
        <w:ind w:firstLine="440"/>
      </w:pPr>
      <w:r>
        <w:t>固定 30000 步使预算口径清楚，但训练图数量增加时，每张图平均被采样的机会会变化，尚未验证各组是否同等接近收敛。自适应增密与裁剪带来不同最终规模；此外，单次运行的时间存在时钟差异，不能用于严谨的效率结论。后续可增加训练种子和第二场景，并对固定数量下均匀与集中视角、固定步数与更充分收敛分别作比较。</w:t>
      </w:r>
    </w:p>
    <w:p>
      <w:pPr>
        <w:pStyle w:val="Heading2"/>
      </w:pPr>
      <w:r>
        <w:t>7.2 结论</w:t>
      </w:r>
    </w:p>
    <w:p>
      <w:pPr>
        <w:keepNext w:val="0"/>
        <w:ind w:firstLine="440"/>
      </w:pPr>
      <w:r>
        <w:t>在已知相机、共同随机点云初始化、400×400 和相同 30000 步条件下，本次 Splatfacto 的 10、20、40 训练视角实验得到逐步提高的平均测试质量。40 视角相对 10 视角平均 PSNR 提升 8.7747 dB，局部外观更接近真实图；部分单张测试图仍有退步。该结论是一次受控的小规模实验观察，不是对任意场景的普遍保证。</w:t>
      </w:r>
    </w:p>
    <w:p>
      <w:pPr>
        <w:pStyle w:val="Heading1"/>
      </w:pPr>
      <w:r>
        <w:t>8 代码来源与工具使用说明</w:t>
      </w:r>
    </w:p>
    <w:p>
      <w:pPr>
        <w:keepNext w:val="0"/>
        <w:ind w:firstLine="44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场景数据来自 NeRF 作者公开数据；训练方法基于 Nerfstudio Splatfacto 和 gsplat 开源实现，按上游许可证使用并记录版本，不将其称为自行提出的算法。项目新增数据划分、共同初始化、实验调度、指标汇总及绘图脚本。使用 OpenAI Codex 协助环境排错、脚本编写、结果整理与文字编辑；文中指标及图像均来自本机实际运行。项目代码与实验记录整理为配套仓库，地址见首页。</w:t>
      </w:r>
    </w:p>
    <w:p>
      <w:pPr>
        <w:pStyle w:val="Heading1"/>
      </w:pPr>
      <w:r>
        <w:t>参考文献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[1] Kerbl B, Kopanas G, Leimkühler T, et al. 3D Gaussian Splatting for Real-Time Radiance Field Rendering. ACM Transactions on Graphics, 2023. https://repo-sam.inria.fr/fungraph/3d-gaussian-splatting/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[2] Nerfstudio. Splatfacto documentation. https://docs.nerf.studio/nerfology/methods/splat.html （访问日期 2026-10-27）.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[3] Tancik M, Weber E, Ng E, et al. Nerfstudio: A Modular Framework for Neural Radiance Field Development. 2023. arXiv:2302.04264.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[4] Ye V, Li R, Kerr J, et al. gsplat: An Open-Source Library for Gaussian Splatting. 2024. arXiv:2409.06765.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[5] Mildenhall B, Srinivasan P P, Tancik M, et al. NeRF: Representing Scenes as Neural Radiance Fields for View Synthesis. ECCV, 2020. 数据与下载脚本：https://github.com/bmild/nerf .</w:t>
      </w:r>
    </w:p>
    <w:p>
      <w:pPr>
        <w:keepNext w:val="0"/>
        <w:spacing w:after="80" w:line="259" w:lineRule="auto"/>
        <w:ind w:left="280" w:hanging="2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[6] Zhu Z, Fan Z, Jiang Y, et al. FSGS: Real-Time Few-shot View Synthesis using Gaussian Splatting. 2023. arXiv:2312.00451.</w:t>
      </w:r>
    </w:p>
    <w:sectPr w:rsidR="00FC693F" w:rsidRPr="0006063C" w:rsidSect="00034616">
      <w:footerReference w:type="default" r:id="rId9"/>
      <w:pgSz w:w="11906" w:h="16838"/>
      <w:pgMar w:top="1049" w:right="1134" w:bottom="1020" w:left="1134" w:header="397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3" w:lineRule="auto"/>
      <w:snapToGrid w:val="0"/>
    </w:pPr>
    <w:rPr>
      <w:rFonts w:ascii="Times New Roman" w:hAnsi="Times New Roman" w:cs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80" w:line="283" w:lineRule="auto"/>
      <w:outlineLvl w:val="0"/>
      <w:snapToGrid w:val="0"/>
    </w:pPr>
    <w:rPr>
      <w:rFonts w:ascii="Times New Roman" w:hAnsi="Times New Roman" w:cs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83" w:lineRule="auto"/>
      <w:outlineLvl w:val="1"/>
      <w:snapToGrid w:val="0"/>
    </w:pPr>
    <w:rPr>
      <w:rFonts w:ascii="Times New Roman" w:hAnsi="Times New Roman" w:cs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76" w:lineRule="auto"/>
      <w:contextualSpacing/>
      <w:snapToGrid w:val="0"/>
    </w:pPr>
    <w:rPr>
      <w:rFonts w:ascii="Times New Roman" w:hAnsi="Times New Roman" w:cs="Times New Roman" w:eastAsia="黑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83" w:lineRule="auto"/>
      <w:snapToGrid w:val="0"/>
    </w:pPr>
    <w:rPr>
      <w:rFonts w:ascii="Times New Roman" w:hAnsi="Times New Roman" w:cs="Times New Roman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283" w:lineRule="auto"/>
      <w:snapToGrid w:val="0"/>
    </w:pPr>
    <w:rPr>
      <w:rFonts w:ascii="Times New Roman" w:hAnsi="Times New Roman" w:cs="Times New Roman" w:eastAsia="宋体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9" w:lineRule="auto" w:after="100"/>
      <w:snapToGrid w:val="0"/>
    </w:pPr>
    <w:rPr>
      <w:rFonts w:ascii="Times New Roman" w:hAnsi="Times New Roman" w:cs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wwwwwcy/3dgs-view-count-stud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训练视角数量对 3D Gaussian Splatting 新视角合成质量的影响</dc:title>
  <dc:subject>深度学习课程设计 2026 秋季</dc:subject>
  <dc:creator/>
  <cp:keywords>3D Gaussian Splatting, Splatfacto, Lego, 训练视角数量, 新视角合成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