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81870">
      <w:pPr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河北地质大学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网络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安全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建设项目需求书</w:t>
      </w:r>
    </w:p>
    <w:p w14:paraId="07DB2226">
      <w:pP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委托方：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河北地质大学</w:t>
      </w:r>
    </w:p>
    <w:p w14:paraId="39740DDE">
      <w:pP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承建方：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河北唐讯信息技术股份有限公司-xxx项目组</w:t>
      </w:r>
    </w:p>
    <w:p w14:paraId="5EE78FD9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02701B8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项目背景</w:t>
      </w:r>
    </w:p>
    <w:p w14:paraId="43B76620">
      <w:pPr>
        <w:ind w:firstLine="42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当前，国家大力推进教育数字化转型，网络安全法及等保2.0对校园网络提出明确要求。我校现有约1000名师生，新老校区互联，财务、教学、图书借阅、一卡通等业务全面线上化。但现有网络存在单点故障、无VLAN隔离、无远程管理、访问控制缺失、出口无冗余等问题，已严重影响教学和安全合规。为此，校方决定启动本项目，建设高可靠、可管理、安全的校园网络。</w:t>
      </w:r>
    </w:p>
    <w:p w14:paraId="50DFED11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痛点分析</w:t>
      </w:r>
    </w:p>
    <w:p w14:paraId="5637CF65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我校现有网络经过多年运行，暴露出以下突出缺陷：</w:t>
      </w:r>
    </w:p>
    <w:p w14:paraId="17F951C1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第一：网络架构脆弱，单点故障风险高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06CBDE2F">
      <w:pPr>
        <w:ind w:firstLine="42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交换机仅有一台，无任何备份设备；关键链路均为单链路，未做冗余设计。一旦核心设备死机或光缆被挖断，将导致全校断网。过去一年中已发生2次全网瘫痪事件，最长恢复时间超过4小时，严重影响正常教学和办公。</w:t>
      </w:r>
    </w:p>
    <w:p w14:paraId="5F73B806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第二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广播域过大，网络稳定性差。</w:t>
      </w:r>
    </w:p>
    <w:p w14:paraId="68B3D86D">
      <w:pPr>
        <w:ind w:firstLine="42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全内网未划分VLAN，所有用户（教学、办公、财务、图书馆）处于同一广播域。ARP广播泛滥，高峰期网络卡顿严重，师生投诉每周超过20起。同时，私接小路由器导致IP冲突、DHCP攻击频发，平均每天处理1起网络纠纷。</w:t>
      </w:r>
    </w:p>
    <w:p w14:paraId="674AAD21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第三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出口链路单一且带宽不足。</w:t>
      </w:r>
    </w:p>
    <w:p w14:paraId="28F9907C">
      <w:pPr>
        <w:ind w:firstLine="42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仅有一条移动出口链路，带宽仅16Mbps，无任何备份链路。晚自习高峰期在线视频课频繁缓冲；一旦运营商侧故障，全校便彻底断网，无法满足基本教学需求。</w:t>
      </w:r>
    </w:p>
    <w:p w14:paraId="110353E9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第四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安全防护缺失，敏感数据暴露。</w:t>
      </w:r>
    </w:p>
    <w:p w14:paraId="459D9063">
      <w:pPr>
        <w:ind w:firstLine="42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财务服务器与普通办公电脑处于同一网段，无任何访问控制措施，任何人均可尝试访问财务系统。曾发生ARP攻击导致财务系统瘫痪1天，虽未造成资金损失，但暴露出严重安全隐患。此外，Web服务器未做端口映射，外网无法访问学校网站，影响招生宣传和信息公开。</w:t>
      </w:r>
    </w:p>
    <w:p w14:paraId="48C177E1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第五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设备管理落后，运维效率低下。</w:t>
      </w:r>
    </w:p>
    <w:p w14:paraId="4A02772B">
      <w:pPr>
        <w:ind w:firstLine="42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所有网络设备需现场使用Console线配置，无法远程管理。故障定位依赖“拔线大法”，平均排障时间超过2小时。设备使用默认密码，弱口令风险长期存在。无统一日志审计，安全事件无法追溯。</w:t>
      </w:r>
    </w:p>
    <w:p w14:paraId="3BF2BCC2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第六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无动态路由，校区互联不可靠。</w:t>
      </w:r>
    </w:p>
    <w:p w14:paraId="7F910B43">
      <w:pPr>
        <w:ind w:firstLine="42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新校区使用静态路由连接，链路变化需手工修改配置，无法自动冗余。当前新校区仅有一条100M备份链路，带宽不足且无主用线路，影响远程教学和校区协同。</w:t>
      </w:r>
    </w:p>
    <w:p w14:paraId="6371E86B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无设备监控，故障无法预知。</w:t>
      </w:r>
    </w:p>
    <w:p w14:paraId="28F71FB7">
      <w:pPr>
        <w:ind w:firstLine="42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核心交换机、出口路由器等关键设备未启用SNMP，CPU过载、接口异常、流量突增等情况无法及时发现，往往是用户投诉后才知道出了问题。</w:t>
      </w:r>
    </w:p>
    <w:p w14:paraId="79C338CA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第八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缺乏应急响应机制。</w:t>
      </w:r>
    </w:p>
    <w:p w14:paraId="3A0B18CA">
      <w:pPr>
        <w:ind w:firstLine="42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无任何网络安全应急预案，遇到勒索病毒、出口中断、核心故障等情况时，校方人员只能临时联系供应商，处置混乱，恢复时间不可控。</w:t>
      </w:r>
    </w:p>
    <w:p w14:paraId="6EDADCA2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总结：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以上问题导致师生上网体验差、领导频繁接到投诉、安全合规无法通过、运维人员疲惫不堪，校园网络升级改造和安全加固已刻不容缓。</w:t>
      </w:r>
    </w:p>
    <w:p w14:paraId="46252A44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124B236">
      <w:pPr>
        <w:pStyle w:val="2"/>
        <w:bidi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委托内容</w:t>
      </w:r>
    </w:p>
    <w:p w14:paraId="6D7EE4EB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承建方须完成以下 10项核心功能建设：</w:t>
      </w:r>
    </w:p>
    <w:p w14:paraId="0843F9C0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VLAN与Trunk建设</w:t>
      </w:r>
    </w:p>
    <w:p w14:paraId="47DE1077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将内网划分为多个VLAN，减小广播域。</w:t>
      </w:r>
    </w:p>
    <w:p w14:paraId="4BC0F41C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交换机端口配置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Access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，允许VLAN通过。</w:t>
      </w:r>
    </w:p>
    <w:p w14:paraId="1D0CDD6E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交换机端口配置Trunk，允许多VLAN通过。</w:t>
      </w:r>
    </w:p>
    <w:p w14:paraId="52DE6624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网关与VLAN间路由</w:t>
      </w:r>
    </w:p>
    <w:p w14:paraId="5B695819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核心交换机配置各VLAN的网关，实现VLAN间路由。</w:t>
      </w:r>
    </w:p>
    <w:p w14:paraId="3774A0E3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DHCP自动分配</w:t>
      </w:r>
    </w:p>
    <w:p w14:paraId="00261F7C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核心层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为用户终端自动分配IP地址、网关、DNS。</w:t>
      </w:r>
    </w:p>
    <w:p w14:paraId="79D62D58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动态路由（OSPF）</w:t>
      </w:r>
    </w:p>
    <w:p w14:paraId="66905E77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所有校区之间运行动态路由协议，实现路由自动学习与链路冗余。</w:t>
      </w:r>
    </w:p>
    <w:p w14:paraId="69E34ED1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出口多链路选路</w:t>
      </w:r>
    </w:p>
    <w:p w14:paraId="1B811292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至少两条出口链路，配置主备或负载均衡，单链路故障时自动切换。</w:t>
      </w:r>
    </w:p>
    <w:p w14:paraId="5F16ECC1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NAT地址转换</w:t>
      </w:r>
    </w:p>
    <w:p w14:paraId="14171F9A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内网用户访问互联网时，源地址转换为公网IP。</w:t>
      </w:r>
    </w:p>
    <w:p w14:paraId="43D0910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7. Web服务器映射</w:t>
      </w:r>
    </w:p>
    <w:p w14:paraId="45A35E25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将内网Web服务器的80端口映射到公网，允许外网访问。</w:t>
      </w:r>
    </w:p>
    <w:p w14:paraId="0E5C6B56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8. 设备远程管理</w:t>
      </w:r>
    </w:p>
    <w:p w14:paraId="6B3BB693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所有网络设备支持远程登录管理，使用统一认证账号。</w:t>
      </w:r>
    </w:p>
    <w:p w14:paraId="1765A22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9</w:t>
      </w:r>
      <w:r>
        <w:rPr>
          <w:rFonts w:hint="eastAsia"/>
          <w:sz w:val="21"/>
          <w:szCs w:val="21"/>
        </w:rPr>
        <w:t xml:space="preserve">. 部分VLAN禁止上网 </w:t>
      </w:r>
    </w:p>
    <w:p w14:paraId="656F0C59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企业财务服务器，只允许（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行政楼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工访问。其他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职工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禁止访问。</w:t>
      </w:r>
    </w:p>
    <w:p w14:paraId="62469791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禁止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二号学院楼的职工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访问外网且关键设备做好实时监控</w:t>
      </w:r>
    </w:p>
    <w:p w14:paraId="1B61F268">
      <w:pPr>
        <w:pStyle w:val="3"/>
        <w:bidi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10.</w:t>
      </w:r>
      <w:r>
        <w:rPr>
          <w:rFonts w:hint="eastAsia"/>
          <w:sz w:val="21"/>
          <w:szCs w:val="21"/>
        </w:rPr>
        <w:t>设备监控</w:t>
      </w:r>
    </w:p>
    <w:p w14:paraId="4F7878E1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设置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管理口令和协议版本，以便网管软件能监控或配置设备。</w:t>
      </w:r>
    </w:p>
    <w:p w14:paraId="22DE19EC">
      <w:pP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AD51A20">
      <w:pPr>
        <w:pStyle w:val="2"/>
        <w:bidi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应急响应要求</w:t>
      </w:r>
    </w:p>
    <w:p w14:paraId="6C0253CA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承建方须为本项目提供完整的应急响应能力，包括但不限于以下内容：</w:t>
      </w:r>
    </w:p>
    <w:p w14:paraId="2F18A8A0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应急响应预案</w:t>
      </w:r>
    </w:p>
    <w:p w14:paraId="0F07465C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制定《校园网络安全应急响应预案》，覆盖以下场景：</w:t>
      </w:r>
    </w:p>
    <w:p w14:paraId="5323050A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出口链路完全中断</w:t>
      </w:r>
    </w:p>
    <w:p w14:paraId="02FC09F7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核心交换机故障</w:t>
      </w:r>
    </w:p>
    <w:p w14:paraId="27F0C7FC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大面积勒索病毒传播</w:t>
      </w:r>
    </w:p>
    <w:p w14:paraId="5B27DCC7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财务服务器被入侵</w:t>
      </w:r>
    </w:p>
    <w:p w14:paraId="2EFCC129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设备配置丢失或错误</w:t>
      </w:r>
    </w:p>
    <w:p w14:paraId="1DA34E11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应急响应团队</w:t>
      </w:r>
    </w:p>
    <w:p w14:paraId="1BC178B7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指定至少1名专职工程师作为应急联系人，提供7×24小时联系电话。</w:t>
      </w:r>
    </w:p>
    <w:p w14:paraId="2556AA78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承建方应在接到校方应急请求后 30分钟内响应，4小时内到达现场（本地）或 2小时内远程介入。</w:t>
      </w:r>
    </w:p>
    <w:p w14:paraId="50ABBA07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应急演练</w:t>
      </w:r>
    </w:p>
    <w:p w14:paraId="23419B82">
      <w:pP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项目交付前，组织一次应急演练，模拟核心交换机故障或出口中断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或其他汇聚层或接入层设备攻击。</w:t>
      </w:r>
    </w:p>
    <w:p w14:paraId="7BB4C8D0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演练需记录恢复时间、操作步骤，并向校方提交演练报告。</w:t>
      </w:r>
    </w:p>
    <w:p w14:paraId="528BAB82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eastAsia"/>
          <w:sz w:val="21"/>
          <w:szCs w:val="21"/>
        </w:rPr>
        <w:t>. 应急响应服务期限</w:t>
      </w:r>
    </w:p>
    <w:p w14:paraId="02E02BE8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应急响应服务与项目维保期一致，至少 3年。</w:t>
      </w:r>
    </w:p>
    <w:p w14:paraId="00FEDC23">
      <w:pPr>
        <w:pStyle w:val="2"/>
        <w:bidi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实施与交付</w:t>
      </w:r>
    </w:p>
    <w:p w14:paraId="72C9E7C5">
      <w:pPr>
        <w:pStyle w:val="3"/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实施步骤</w:t>
      </w:r>
    </w:p>
    <w:p w14:paraId="5CB3D3EE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方案设计（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天）</w:t>
      </w:r>
    </w:p>
    <w:p w14:paraId="3347E2A7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设备采购（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天）</w:t>
      </w:r>
    </w:p>
    <w:p w14:paraId="399D5764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配置与测试（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天）</w:t>
      </w:r>
    </w:p>
    <w:p w14:paraId="4EC76222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割接上线（夜间，≤4小时）</w:t>
      </w:r>
    </w:p>
    <w:p w14:paraId="65286048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试运行（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天）</w:t>
      </w:r>
    </w:p>
    <w:p w14:paraId="47DEFA70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应急演练（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天）</w:t>
      </w:r>
    </w:p>
    <w:p w14:paraId="2B548111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验收交付（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天）</w:t>
      </w:r>
    </w:p>
    <w:p w14:paraId="1C058D62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交付物</w:t>
      </w:r>
    </w:p>
    <w:p w14:paraId="7AE3295E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网络拓扑图</w:t>
      </w:r>
    </w:p>
    <w:p w14:paraId="0119E050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设备配置脚本</w:t>
      </w:r>
    </w:p>
    <w:p w14:paraId="7DF087CF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IP与VLAN规划表</w:t>
      </w:r>
    </w:p>
    <w:p w14:paraId="379EEFA2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运维手册</w:t>
      </w:r>
    </w:p>
    <w:p w14:paraId="1DDEE02A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应急响应预案</w:t>
      </w:r>
    </w:p>
    <w:p w14:paraId="4229660D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应急演练报告</w:t>
      </w:r>
    </w:p>
    <w:p w14:paraId="61394212">
      <w:pP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PPT项目汇报（团队分工、使用技术、核心技术展示、项目复盘、项目现行问题及设备升级）</w:t>
      </w:r>
    </w:p>
    <w:p w14:paraId="6345608C">
      <w:pPr>
        <w:pStyle w:val="2"/>
        <w:bidi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验收标准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530"/>
        <w:gridCol w:w="6248"/>
      </w:tblGrid>
      <w:tr w14:paraId="381FD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44" w:type="dxa"/>
            <w:vAlign w:val="center"/>
          </w:tcPr>
          <w:p w14:paraId="48A0C4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olor w:val="0F1115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530" w:type="dxa"/>
            <w:vAlign w:val="center"/>
          </w:tcPr>
          <w:p w14:paraId="7F2DF6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olor w:val="0F1115"/>
                <w:kern w:val="0"/>
                <w:sz w:val="24"/>
                <w:szCs w:val="24"/>
                <w:u w:val="none"/>
                <w:lang w:val="en-US" w:eastAsia="zh-CN" w:bidi="ar"/>
              </w:rPr>
              <w:t>验收项</w:t>
            </w:r>
          </w:p>
        </w:tc>
        <w:tc>
          <w:tcPr>
            <w:tcW w:w="6248" w:type="dxa"/>
            <w:vAlign w:val="center"/>
          </w:tcPr>
          <w:p w14:paraId="7D2A2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olor w:val="0F1115"/>
                <w:kern w:val="0"/>
                <w:sz w:val="24"/>
                <w:szCs w:val="24"/>
                <w:u w:val="none"/>
                <w:lang w:val="en-US" w:eastAsia="zh-CN" w:bidi="ar"/>
              </w:rPr>
              <w:t>合格标准</w:t>
            </w:r>
          </w:p>
        </w:tc>
      </w:tr>
      <w:tr w14:paraId="6B0C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758C7D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530" w:type="dxa"/>
            <w:vAlign w:val="center"/>
          </w:tcPr>
          <w:p w14:paraId="7A71B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VLAN划分</w:t>
            </w:r>
          </w:p>
        </w:tc>
        <w:tc>
          <w:tcPr>
            <w:tcW w:w="6248" w:type="dxa"/>
            <w:vAlign w:val="center"/>
          </w:tcPr>
          <w:p w14:paraId="40C6B1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不同VLAN隔离，广播域缩小</w:t>
            </w:r>
          </w:p>
        </w:tc>
      </w:tr>
      <w:tr w14:paraId="7515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51F639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530" w:type="dxa"/>
            <w:vAlign w:val="center"/>
          </w:tcPr>
          <w:p w14:paraId="4FED6A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6248" w:type="dxa"/>
            <w:vAlign w:val="center"/>
          </w:tcPr>
          <w:p w14:paraId="7FBA21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各VLAN PC可ping通网关</w:t>
            </w:r>
          </w:p>
        </w:tc>
      </w:tr>
      <w:tr w14:paraId="6AAA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21336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530" w:type="dxa"/>
            <w:vAlign w:val="center"/>
          </w:tcPr>
          <w:p w14:paraId="591C93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DHCP</w:t>
            </w:r>
          </w:p>
        </w:tc>
        <w:tc>
          <w:tcPr>
            <w:tcW w:w="6248" w:type="dxa"/>
            <w:vAlign w:val="center"/>
          </w:tcPr>
          <w:p w14:paraId="0EF548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PC自动获取IP、网关、DNS</w:t>
            </w:r>
          </w:p>
        </w:tc>
      </w:tr>
      <w:tr w14:paraId="3330B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7DC025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530" w:type="dxa"/>
            <w:vAlign w:val="center"/>
          </w:tcPr>
          <w:p w14:paraId="570891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OSPF</w:t>
            </w:r>
          </w:p>
        </w:tc>
        <w:tc>
          <w:tcPr>
            <w:tcW w:w="6248" w:type="dxa"/>
            <w:vAlign w:val="center"/>
          </w:tcPr>
          <w:p w14:paraId="72A257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核心路由表包含所有校区网段</w:t>
            </w:r>
          </w:p>
        </w:tc>
      </w:tr>
      <w:tr w14:paraId="263EA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6DFFB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530" w:type="dxa"/>
            <w:vAlign w:val="center"/>
          </w:tcPr>
          <w:p w14:paraId="4D0737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出口冗余</w:t>
            </w:r>
          </w:p>
        </w:tc>
        <w:tc>
          <w:tcPr>
            <w:tcW w:w="6248" w:type="dxa"/>
            <w:vAlign w:val="center"/>
          </w:tcPr>
          <w:p w14:paraId="4E5C8C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断开主出口，自动切换备用，丢包≤3</w:t>
            </w:r>
          </w:p>
        </w:tc>
      </w:tr>
      <w:tr w14:paraId="7A98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1FF6AC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530" w:type="dxa"/>
            <w:vAlign w:val="center"/>
          </w:tcPr>
          <w:p w14:paraId="280A04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NAT</w:t>
            </w:r>
          </w:p>
        </w:tc>
        <w:tc>
          <w:tcPr>
            <w:tcW w:w="6248" w:type="dxa"/>
            <w:vAlign w:val="center"/>
          </w:tcPr>
          <w:p w14:paraId="67F3D7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内网PC可访问互联网</w:t>
            </w:r>
          </w:p>
        </w:tc>
      </w:tr>
      <w:tr w14:paraId="68C7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09AFBA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530" w:type="dxa"/>
            <w:vAlign w:val="center"/>
          </w:tcPr>
          <w:p w14:paraId="40FF3C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Web映射</w:t>
            </w:r>
          </w:p>
        </w:tc>
        <w:tc>
          <w:tcPr>
            <w:tcW w:w="6248" w:type="dxa"/>
            <w:vAlign w:val="center"/>
          </w:tcPr>
          <w:p w14:paraId="297543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外网可访问校内Web服务器</w:t>
            </w:r>
          </w:p>
        </w:tc>
      </w:tr>
      <w:tr w14:paraId="1CC0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7F7E7B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530" w:type="dxa"/>
            <w:vAlign w:val="center"/>
          </w:tcPr>
          <w:p w14:paraId="031D4A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远程管理</w:t>
            </w:r>
          </w:p>
        </w:tc>
        <w:tc>
          <w:tcPr>
            <w:tcW w:w="6248" w:type="dxa"/>
            <w:vAlign w:val="center"/>
          </w:tcPr>
          <w:p w14:paraId="783276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Telnet/SSH登录所有设备成功</w:t>
            </w:r>
          </w:p>
        </w:tc>
      </w:tr>
      <w:tr w14:paraId="0587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3B420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530" w:type="dxa"/>
            <w:vAlign w:val="center"/>
          </w:tcPr>
          <w:p w14:paraId="60CDA0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财务访问控制</w:t>
            </w:r>
          </w:p>
        </w:tc>
        <w:tc>
          <w:tcPr>
            <w:tcW w:w="6248" w:type="dxa"/>
            <w:vAlign w:val="center"/>
          </w:tcPr>
          <w:p w14:paraId="16184B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仅授权VLAN可访问财务服务器</w:t>
            </w:r>
          </w:p>
        </w:tc>
      </w:tr>
      <w:tr w14:paraId="0FA2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40959D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530" w:type="dxa"/>
            <w:vAlign w:val="center"/>
          </w:tcPr>
          <w:p w14:paraId="0DA7C9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禁止上网</w:t>
            </w:r>
          </w:p>
        </w:tc>
        <w:tc>
          <w:tcPr>
            <w:tcW w:w="6248" w:type="dxa"/>
            <w:vAlign w:val="center"/>
          </w:tcPr>
          <w:p w14:paraId="1A59CC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指定VLAN无法打开外网</w:t>
            </w:r>
          </w:p>
        </w:tc>
      </w:tr>
      <w:tr w14:paraId="4B0B4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69D4EB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530" w:type="dxa"/>
            <w:vAlign w:val="center"/>
          </w:tcPr>
          <w:p w14:paraId="16D517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设备监控</w:t>
            </w:r>
          </w:p>
        </w:tc>
        <w:tc>
          <w:tcPr>
            <w:tcW w:w="6248" w:type="dxa"/>
            <w:vAlign w:val="center"/>
          </w:tcPr>
          <w:p w14:paraId="6D6E92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网管软件可读取关键设备状态</w:t>
            </w:r>
          </w:p>
        </w:tc>
      </w:tr>
      <w:tr w14:paraId="2D32B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vAlign w:val="center"/>
          </w:tcPr>
          <w:p w14:paraId="6D1B8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530" w:type="dxa"/>
            <w:vAlign w:val="center"/>
          </w:tcPr>
          <w:p w14:paraId="181BB2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应急响应</w:t>
            </w:r>
          </w:p>
        </w:tc>
        <w:tc>
          <w:tcPr>
            <w:tcW w:w="6248" w:type="dxa"/>
            <w:vAlign w:val="center"/>
          </w:tcPr>
          <w:p w14:paraId="59A3D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应急响应预演及方案</w:t>
            </w:r>
          </w:p>
        </w:tc>
      </w:tr>
    </w:tbl>
    <w:p w14:paraId="657C1A52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2B30BB0">
      <w:pPr>
        <w:pStyle w:val="2"/>
        <w:bidi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工期与资质</w:t>
      </w:r>
    </w:p>
    <w:p w14:paraId="6CF71AEF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工期：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个自然日</w:t>
      </w:r>
    </w:p>
    <w:p w14:paraId="2C5C6AC1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承建方资质：近3年至少2个校园网项目；主要设备原厂授权；具备应急响应服务能力。</w:t>
      </w:r>
    </w:p>
    <w:p w14:paraId="331B00F2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A72D528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209D0FC1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委托方（盖章）：</w:t>
      </w:r>
    </w:p>
    <w:p w14:paraId="2421BB93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承建方（盖章）：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dsw-font-markdown-table-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60E61"/>
    <w:rsid w:val="0D960E61"/>
    <w:rsid w:val="0F9242C9"/>
    <w:rsid w:val="54AC2B64"/>
    <w:rsid w:val="5BB8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2107</Words>
  <Characters>2277</Characters>
  <Lines>0</Lines>
  <Paragraphs>0</Paragraphs>
  <TotalTime>3</TotalTime>
  <ScaleCrop>false</ScaleCrop>
  <LinksUpToDate>false</LinksUpToDate>
  <CharactersWithSpaces>2297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2026-05-26T14:49:00Z</dcterms:created>
  <dc:creator>离云燚</dc:creator>
  <cp:lastModifiedBy>离云燚</cp:lastModifiedBy>
  <dcterms:modified xsi:type="dcterms:W3CDTF">2026-05-26T23:55:17Z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01BC9C2A3DD748E39CDBEA29537F7C47_11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