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09120">
      <w:pPr>
        <w:spacing w:before="91" w:after="156" w:afterLines="50" w:line="500" w:lineRule="exact"/>
        <w:jc w:val="center"/>
        <w:outlineLvl w:val="1"/>
        <w:rPr>
          <w:rFonts w:ascii="Times New Roman" w:hAnsi="Times New Roman" w:eastAsia="黑体" w:cs="Times New Roman"/>
          <w:b/>
          <w:bCs/>
          <w:color w:val="000000" w:themeColor="text1"/>
          <w:spacing w:val="-5"/>
          <w:sz w:val="28"/>
          <w:szCs w:val="28"/>
          <w:lang w:eastAsia="zh-CN"/>
          <w14:textFill>
            <w14:solidFill>
              <w14:schemeClr w14:val="tx1"/>
            </w14:solidFill>
          </w14:textFill>
        </w:rPr>
      </w:pPr>
      <w:r>
        <w:rPr>
          <w:rFonts w:ascii="Times New Roman" w:hAnsi="Times New Roman" w:eastAsia="仿宋" w:cs="Times New Roman"/>
          <w:b/>
          <w:bCs/>
          <w:color w:val="000000" w:themeColor="text1"/>
          <w:sz w:val="28"/>
          <w:szCs w:val="28"/>
          <w:lang w:eastAsia="zh-CN"/>
          <w14:textFill>
            <w14:solidFill>
              <w14:schemeClr w14:val="tx1"/>
            </w14:solidFill>
          </w14:textFill>
        </w:rPr>
        <w:t>数据提交说明</w:t>
      </w:r>
    </w:p>
    <w:p w14:paraId="48037F96">
      <w:pPr>
        <w:pStyle w:val="14"/>
        <w:spacing w:before="156" w:beforeLines="50" w:line="278" w:lineRule="auto"/>
        <w:ind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本说明给出数据提交指南，数据收集参考信息，</w:t>
      </w:r>
      <w:r>
        <w:rPr>
          <w:rFonts w:ascii="仿宋" w:hAnsi="仿宋" w:eastAsia="仿宋"/>
          <w:lang w:eastAsia="zh-CN"/>
        </w:rPr>
        <w:t>有效案例判定标准</w:t>
      </w:r>
      <w:r>
        <w:rPr>
          <w:rFonts w:ascii="仿宋" w:hAnsi="仿宋" w:eastAsia="仿宋" w:cs="Times New Roman"/>
          <w:color w:val="auto"/>
          <w:lang w:eastAsia="zh-CN"/>
        </w:rPr>
        <w:t>,</w:t>
      </w:r>
      <w:r>
        <w:rPr>
          <w:rFonts w:hint="eastAsia" w:ascii="仿宋" w:hAnsi="仿宋" w:eastAsia="仿宋" w:cs="Times New Roman"/>
          <w:color w:val="auto"/>
          <w:lang w:eastAsia="zh-CN"/>
        </w:rPr>
        <w:t xml:space="preserve"> </w:t>
      </w: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r>
        <w:rPr>
          <w:rFonts w:ascii="仿宋" w:hAnsi="仿宋" w:eastAsia="仿宋" w:cs="Times New Roman"/>
          <w:color w:val="auto"/>
          <w:lang w:eastAsia="zh-CN"/>
        </w:rPr>
        <w:t>与计分规则</w:t>
      </w:r>
      <w:r>
        <w:rPr>
          <w:rFonts w:hint="eastAsia" w:ascii="仿宋" w:hAnsi="仿宋" w:eastAsia="仿宋" w:cs="Times New Roman"/>
          <w:color w:val="auto"/>
          <w:lang w:eastAsia="zh-CN"/>
        </w:rPr>
        <w:t>，</w:t>
      </w:r>
      <w:r>
        <w:rPr>
          <w:rFonts w:ascii="仿宋" w:hAnsi="仿宋" w:eastAsia="仿宋" w:cs="Times New Roman"/>
          <w:color w:val="auto"/>
          <w:lang w:eastAsia="zh-CN"/>
        </w:rPr>
        <w:t>包括以下几个部分。</w:t>
      </w:r>
    </w:p>
    <w:p w14:paraId="283B83C5">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数据提交指南</w:t>
      </w:r>
    </w:p>
    <w:p w14:paraId="5E9C274E">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开源数据来源</w:t>
      </w:r>
    </w:p>
    <w:p w14:paraId="279CCFED">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lang w:eastAsia="zh-CN"/>
        </w:rPr>
        <w:t>有效案例判定标准</w:t>
      </w:r>
    </w:p>
    <w:p w14:paraId="45E182DA">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p>
    <w:p w14:paraId="7765B12B">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打分办法</w:t>
      </w:r>
    </w:p>
    <w:p w14:paraId="134AC5DF">
      <w:pPr>
        <w:pStyle w:val="14"/>
        <w:numPr>
          <w:ilvl w:val="0"/>
          <w:numId w:val="3"/>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cs="Times New Roman"/>
          <w:color w:val="auto"/>
          <w:lang w:eastAsia="zh-CN"/>
        </w:rPr>
        <w:t>赛题提交格式说明</w:t>
      </w:r>
    </w:p>
    <w:p w14:paraId="3695AA3E">
      <w:pPr>
        <w:pStyle w:val="14"/>
        <w:numPr>
          <w:ilvl w:val="0"/>
          <w:numId w:val="4"/>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数据提交指南</w:t>
      </w:r>
    </w:p>
    <w:p w14:paraId="26B0E923">
      <w:pPr>
        <w:pStyle w:val="14"/>
        <w:numPr>
          <w:ilvl w:val="0"/>
          <w:numId w:val="5"/>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提交内容</w:t>
      </w:r>
    </w:p>
    <w:p w14:paraId="3B65F21B">
      <w:pPr>
        <w:pStyle w:val="14"/>
        <w:spacing w:before="156" w:beforeLines="50" w:line="278" w:lineRule="auto"/>
        <w:ind w:firstLine="480" w:firstLineChars="200"/>
        <w:jc w:val="both"/>
        <w:rPr>
          <w:rFonts w:hint="eastAsia"/>
          <w:lang w:eastAsia="zh-CN"/>
        </w:rPr>
      </w:pPr>
      <w:r>
        <w:rPr>
          <w:rFonts w:hint="eastAsia" w:ascii="Times New Roman" w:hAnsi="Times New Roman" w:eastAsia="仿宋" w:cs="Times New Roman"/>
          <w:color w:val="auto"/>
          <w:lang w:eastAsia="zh-CN"/>
        </w:rPr>
        <w:t>提交内容分为两部分，分别是数据说明文档与数据。</w:t>
      </w:r>
    </w:p>
    <w:p w14:paraId="715C62D8">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hint="eastAsia" w:ascii="Times New Roman" w:hAnsi="Times New Roman" w:eastAsia="仿宋" w:cs="Times New Roman"/>
          <w:color w:val="auto"/>
          <w:lang w:eastAsia="zh-CN"/>
        </w:rPr>
        <w:t>1.</w:t>
      </w:r>
      <w:r>
        <w:rPr>
          <w:rFonts w:ascii="Times New Roman" w:hAnsi="Times New Roman" w:eastAsia="仿宋" w:cs="Times New Roman"/>
          <w:color w:val="auto"/>
          <w:lang w:eastAsia="zh-CN"/>
        </w:rPr>
        <w:t>数据说明文档：介绍数据来源、数量、许可或授权情况、及必要的使用说明。</w:t>
      </w:r>
    </w:p>
    <w:p w14:paraId="0048FB13">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hint="eastAsia" w:ascii="Times New Roman" w:hAnsi="Times New Roman" w:eastAsia="仿宋" w:cs="Times New Roman"/>
          <w:color w:val="auto"/>
          <w:lang w:eastAsia="zh-CN"/>
        </w:rPr>
        <w:t>2.数据：每张原理图对应一个统一 case_id，并提供同名原图、标注 JSON文件（与赛题输出结果JSON相同的格式）。每支参赛队伍提交的图片/案例总数不得少于20个，且不得与赛题提供的200个训练数据重复；具体命名与目录结构见“六、赛题提交格式说明”。</w:t>
      </w:r>
    </w:p>
    <w:p w14:paraId="0AD4AC19">
      <w:pPr>
        <w:pStyle w:val="14"/>
        <w:numPr>
          <w:ilvl w:val="0"/>
          <w:numId w:val="5"/>
        </w:numPr>
        <w:spacing w:before="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提交地址与时间</w:t>
      </w:r>
    </w:p>
    <w:p w14:paraId="0F0BF697">
      <w:pPr>
        <w:pStyle w:val="14"/>
        <w:spacing w:before="50" w:line="278" w:lineRule="auto"/>
        <w:ind w:firstLine="480" w:firstLineChars="200"/>
        <w:jc w:val="both"/>
        <w:rPr>
          <w:rFonts w:hint="eastAsia" w:ascii="Times New Roman" w:hAnsi="Times New Roman" w:eastAsia="仿宋" w:cs="Times New Roman"/>
          <w:color w:val="auto"/>
          <w:lang w:eastAsia="zh-CN"/>
        </w:rPr>
      </w:pPr>
      <w:r>
        <w:rPr>
          <w:rFonts w:hint="eastAsia" w:ascii="Times New Roman" w:hAnsi="Times New Roman" w:eastAsia="仿宋" w:cs="Times New Roman"/>
          <w:color w:val="auto"/>
          <w:lang w:eastAsia="zh-CN"/>
        </w:rPr>
        <w:t>数据在评测平台进行提交（</w:t>
      </w:r>
      <w:r>
        <w:rPr>
          <w:rFonts w:ascii="Times New Roman" w:hAnsi="Times New Roman" w:eastAsia="仿宋" w:cs="Times New Roman"/>
          <w:color w:val="auto"/>
          <w:lang w:eastAsia="zh-CN"/>
        </w:rPr>
        <w:t>http://competition.nctieda.com</w:t>
      </w:r>
      <w:r>
        <w:rPr>
          <w:rFonts w:hint="eastAsia" w:ascii="Times New Roman" w:hAnsi="Times New Roman" w:eastAsia="仿宋" w:cs="Times New Roman"/>
          <w:color w:val="auto"/>
          <w:lang w:val="en-US" w:eastAsia="zh-CN"/>
        </w:rPr>
        <w:t>:30080</w:t>
      </w:r>
      <w:r>
        <w:rPr>
          <w:rFonts w:ascii="Times New Roman" w:hAnsi="Times New Roman" w:eastAsia="仿宋" w:cs="Times New Roman"/>
          <w:color w:val="auto"/>
          <w:lang w:eastAsia="zh-CN"/>
        </w:rPr>
        <w:t>)</w:t>
      </w:r>
      <w:r>
        <w:rPr>
          <w:rFonts w:hint="eastAsia" w:ascii="Times New Roman" w:hAnsi="Times New Roman" w:eastAsia="仿宋" w:cs="Times New Roman"/>
          <w:color w:val="auto"/>
          <w:lang w:eastAsia="zh-CN"/>
        </w:rPr>
        <w:t>，具体的提交入口后续会在</w:t>
      </w:r>
      <w:r>
        <w:rPr>
          <w:rFonts w:ascii="Times New Roman" w:hAnsi="Times New Roman" w:eastAsia="仿宋" w:cs="Times New Roman"/>
          <w:color w:val="auto"/>
          <w:lang w:eastAsia="zh-CN"/>
        </w:rPr>
        <w:t>QQ</w:t>
      </w:r>
      <w:r>
        <w:rPr>
          <w:rFonts w:hint="eastAsia" w:ascii="Times New Roman" w:hAnsi="Times New Roman" w:eastAsia="仿宋" w:cs="Times New Roman"/>
          <w:color w:val="auto"/>
          <w:lang w:eastAsia="zh-CN"/>
        </w:rPr>
        <w:t>、</w:t>
      </w:r>
      <w:r>
        <w:rPr>
          <w:rFonts w:ascii="Times New Roman" w:hAnsi="Times New Roman" w:eastAsia="仿宋" w:cs="Times New Roman"/>
          <w:color w:val="auto"/>
          <w:lang w:eastAsia="zh-CN"/>
        </w:rPr>
        <w:t>Q&amp;A</w:t>
      </w:r>
      <w:r>
        <w:rPr>
          <w:rFonts w:hint="eastAsia" w:ascii="Times New Roman" w:hAnsi="Times New Roman" w:eastAsia="仿宋" w:cs="Times New Roman"/>
          <w:color w:val="auto"/>
          <w:lang w:eastAsia="zh-CN"/>
        </w:rPr>
        <w:t>文档中进行通知。</w:t>
      </w:r>
    </w:p>
    <w:p w14:paraId="3774F5B7">
      <w:pPr>
        <w:pStyle w:val="14"/>
        <w:spacing w:before="50" w:line="278" w:lineRule="auto"/>
        <w:ind w:firstLine="480" w:firstLineChars="200"/>
        <w:jc w:val="both"/>
        <w:rPr>
          <w:rFonts w:ascii="Times New Roman" w:hAnsi="Times New Roman" w:eastAsia="仿宋" w:cs="Times New Roman"/>
          <w:color w:val="C00000"/>
          <w:lang w:eastAsia="zh-CN"/>
        </w:rPr>
      </w:pPr>
      <w:r>
        <w:rPr>
          <w:rFonts w:hint="eastAsia" w:ascii="Times New Roman" w:hAnsi="Times New Roman" w:eastAsia="仿宋" w:cs="Times New Roman"/>
          <w:color w:val="auto"/>
          <w:lang w:eastAsia="zh-CN"/>
        </w:rPr>
        <w:t>数据提交截止时间为2026年11月08日</w:t>
      </w:r>
      <w:r>
        <w:rPr>
          <w:rFonts w:hint="eastAsia" w:ascii="Times New Roman" w:hAnsi="Times New Roman" w:eastAsia="仿宋" w:cs="Times New Roman"/>
          <w:color w:val="auto"/>
          <w:lang w:val="en-US" w:eastAsia="zh-CN"/>
        </w:rPr>
        <w:t>23时00分</w:t>
      </w:r>
      <w:r>
        <w:rPr>
          <w:rFonts w:hint="eastAsia" w:ascii="Times New Roman" w:hAnsi="Times New Roman" w:eastAsia="仿宋" w:cs="Times New Roman"/>
          <w:color w:val="auto"/>
          <w:lang w:eastAsia="zh-CN"/>
        </w:rPr>
        <w:t>；截止时间前可多次提交，并以评测平台记录的最后一次成功提交的版本为准</w:t>
      </w:r>
      <w:r>
        <w:rPr>
          <w:rFonts w:hint="eastAsia" w:ascii="Times New Roman" w:hAnsi="Times New Roman" w:eastAsia="仿宋" w:cs="Times New Roman"/>
          <w:color w:val="auto"/>
          <w:lang w:eastAsia="zh-CN"/>
        </w:rPr>
        <w:t>。2026年11月02日</w:t>
      </w:r>
      <w:r>
        <w:rPr>
          <w:rFonts w:hint="eastAsia" w:ascii="Times New Roman" w:hAnsi="Times New Roman" w:eastAsia="仿宋" w:cs="Times New Roman"/>
          <w:color w:val="auto"/>
          <w:lang w:val="en-US" w:eastAsia="zh-CN"/>
        </w:rPr>
        <w:t>23时00分</w:t>
      </w:r>
      <w:r>
        <w:rPr>
          <w:rFonts w:hint="eastAsia" w:ascii="Times New Roman" w:hAnsi="Times New Roman" w:eastAsia="仿宋" w:cs="Times New Roman"/>
          <w:color w:val="auto"/>
          <w:lang w:eastAsia="zh-CN"/>
        </w:rPr>
        <w:t>前提交的数据（截止时间前一周），经确认符合要求后，将选取一部分（每支队伍原则上不超过10个）加入到最终的测试数据集。</w:t>
      </w:r>
      <w:bookmarkStart w:id="0" w:name="_GoBack"/>
      <w:bookmarkEnd w:id="0"/>
    </w:p>
    <w:p w14:paraId="1FF632F9">
      <w:pPr>
        <w:pStyle w:val="14"/>
        <w:numPr>
          <w:ilvl w:val="0"/>
          <w:numId w:val="5"/>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补充说明</w:t>
      </w:r>
    </w:p>
    <w:p w14:paraId="430E301B">
      <w:pPr>
        <w:pStyle w:val="15"/>
        <w:spacing w:before="156" w:beforeLines="50" w:after="0"/>
        <w:ind w:firstLine="442"/>
        <w:rPr>
          <w:rFonts w:ascii="Times New Roman" w:hAnsi="Times New Roman" w:eastAsia="仿宋" w:cs="Times New Roman"/>
          <w:color w:val="000000" w:themeColor="text1"/>
          <w:sz w:val="24"/>
          <w14:textFill>
            <w14:solidFill>
              <w14:schemeClr w14:val="tx1"/>
            </w14:solidFill>
          </w14:textFill>
        </w:rPr>
      </w:pPr>
      <w:r>
        <w:rPr>
          <w:rFonts w:ascii="Times New Roman" w:hAnsi="Times New Roman" w:eastAsia="仿宋" w:cs="Times New Roman"/>
          <w:color w:val="000000" w:themeColor="text1"/>
          <w:sz w:val="24"/>
          <w14:textFill>
            <w14:solidFill>
              <w14:schemeClr w14:val="tx1"/>
            </w14:solidFill>
          </w14:textFill>
        </w:rPr>
        <w:t>参赛队伍提交的数据经确认后会贡献到赛题官方数据集PCBnet开源数据中，同时数据贡献人也会被加入到该数据集共同作者，参考文献</w:t>
      </w:r>
      <w:r>
        <w:rPr>
          <w:rFonts w:ascii="Times New Roman" w:hAnsi="Times New Roman" w:eastAsia="仿宋" w:cs="Times New Roman"/>
          <w:color w:val="000000" w:themeColor="text1"/>
          <w:sz w:val="24"/>
          <w:vertAlign w:val="superscript"/>
          <w14:textFill>
            <w14:solidFill>
              <w14:schemeClr w14:val="tx1"/>
            </w14:solidFill>
          </w14:textFill>
        </w:rPr>
        <w:t>[1]</w:t>
      </w:r>
      <w:r>
        <w:rPr>
          <w:rFonts w:ascii="Times New Roman" w:hAnsi="Times New Roman" w:eastAsia="仿宋" w:cs="Times New Roman"/>
          <w:color w:val="000000" w:themeColor="text1"/>
          <w:sz w:val="24"/>
          <w14:textFill>
            <w14:solidFill>
              <w14:schemeClr w14:val="tx1"/>
            </w14:solidFill>
          </w14:textFill>
        </w:rPr>
        <w:t>。</w:t>
      </w:r>
    </w:p>
    <w:p w14:paraId="125857C0">
      <w:pPr>
        <w:pStyle w:val="15"/>
        <w:spacing w:before="156" w:beforeLines="50" w:after="0"/>
        <w:ind w:left="446" w:leftChars="201" w:hanging="24" w:hangingChars="10"/>
        <w:jc w:val="both"/>
        <w:rPr>
          <w:rFonts w:ascii="Times New Roman" w:hAnsi="Times New Roman" w:eastAsia="仿宋" w:cs="Times New Roman"/>
          <w:color w:val="000000" w:themeColor="text1"/>
          <w:sz w:val="24"/>
          <w14:textFill>
            <w14:solidFill>
              <w14:schemeClr w14:val="tx1"/>
            </w14:solidFill>
          </w14:textFill>
        </w:rPr>
      </w:pPr>
      <w:r>
        <w:rPr>
          <w:rFonts w:ascii="Times New Roman" w:hAnsi="Times New Roman" w:eastAsia="仿宋" w:cs="Times New Roman"/>
          <w:color w:val="000000" w:themeColor="text1"/>
          <w:sz w:val="24"/>
          <w14:textFill>
            <w14:solidFill>
              <w14:schemeClr w14:val="tx1"/>
            </w14:solidFill>
          </w14:textFill>
        </w:rPr>
        <w:t>数据集名称：PCBnet(面向 PCB 原理图理解与网表构建的大规模数据集)</w:t>
      </w:r>
    </w:p>
    <w:p w14:paraId="622B0F5B">
      <w:pPr>
        <w:pStyle w:val="14"/>
        <w:spacing w:before="156" w:beforeLines="50" w:line="278" w:lineRule="auto"/>
        <w:ind w:firstLine="480" w:firstLineChars="200"/>
        <w:jc w:val="both"/>
        <w:rPr>
          <w:rFonts w:ascii="Times New Roman" w:hAnsi="Times New Roman" w:eastAsia="仿宋" w:cs="Times New Roman"/>
          <w:color w:val="000000" w:themeColor="text1"/>
          <w:lang w:eastAsia="zh-CN"/>
          <w14:textFill>
            <w14:solidFill>
              <w14:schemeClr w14:val="tx1"/>
            </w14:solidFill>
          </w14:textFill>
        </w:rPr>
      </w:pPr>
      <w:r>
        <w:rPr>
          <w:rFonts w:ascii="Times New Roman" w:hAnsi="Times New Roman" w:eastAsia="仿宋" w:cs="Times New Roman"/>
          <w:color w:val="000000" w:themeColor="text1"/>
          <w14:textFill>
            <w14:solidFill>
              <w14:schemeClr w14:val="tx1"/>
            </w14:solidFill>
          </w14:textFill>
        </w:rPr>
        <w:t>网站：https://github.com/ECNUACRush/PCBnet/</w:t>
      </w:r>
    </w:p>
    <w:p w14:paraId="28F8EF26">
      <w:pPr>
        <w:pStyle w:val="14"/>
        <w:numPr>
          <w:ilvl w:val="0"/>
          <w:numId w:val="4"/>
        </w:numPr>
        <w:spacing w:before="156" w:beforeLines="50" w:line="278" w:lineRule="auto"/>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开源数据来源</w:t>
      </w:r>
    </w:p>
    <w:p w14:paraId="799029B9">
      <w:pPr>
        <w:pStyle w:val="14"/>
        <w:spacing w:before="156" w:beforeLines="50" w:line="278" w:lineRule="auto"/>
        <w:ind w:firstLine="480" w:firstLineChars="200"/>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本赛题不限制数据来源。参赛队伍可</w:t>
      </w:r>
      <w:r>
        <w:rPr>
          <w:rFonts w:hint="eastAsia" w:ascii="Times New Roman" w:hAnsi="Times New Roman" w:eastAsia="仿宋" w:cs="Times New Roman"/>
          <w:color w:val="auto"/>
          <w:lang w:eastAsia="zh-CN"/>
        </w:rPr>
        <w:t>通过</w:t>
      </w:r>
      <w:r>
        <w:rPr>
          <w:rFonts w:ascii="Times New Roman" w:hAnsi="Times New Roman" w:eastAsia="仿宋" w:cs="Times New Roman"/>
          <w:color w:val="auto"/>
          <w:lang w:eastAsia="zh-CN"/>
        </w:rPr>
        <w:t>开源渠道收集数据，也可使用自主构建的自有数据</w:t>
      </w:r>
      <w:r>
        <w:rPr>
          <w:rFonts w:hint="eastAsia" w:ascii="Times New Roman" w:hAnsi="Times New Roman" w:eastAsia="仿宋" w:cs="Times New Roman"/>
          <w:color w:val="auto"/>
          <w:lang w:eastAsia="zh-CN"/>
        </w:rPr>
        <w:t>。</w:t>
      </w:r>
    </w:p>
    <w:p w14:paraId="13FAA013">
      <w:pPr>
        <w:pStyle w:val="14"/>
        <w:numPr>
          <w:ilvl w:val="0"/>
          <w:numId w:val="4"/>
        </w:numPr>
        <w:spacing w:before="156" w:beforeLines="50" w:line="278" w:lineRule="auto"/>
        <w:ind w:left="442" w:hanging="442"/>
        <w:jc w:val="both"/>
        <w:rPr>
          <w:rFonts w:hint="eastAsia" w:ascii="仿宋" w:hAnsi="仿宋" w:eastAsia="仿宋" w:cs="Times New Roman"/>
          <w:color w:val="auto"/>
          <w:lang w:eastAsia="zh-CN"/>
        </w:rPr>
      </w:pPr>
      <w:r>
        <w:rPr>
          <w:rFonts w:ascii="仿宋" w:hAnsi="仿宋" w:eastAsia="仿宋"/>
          <w:lang w:eastAsia="zh-CN"/>
        </w:rPr>
        <w:t>有效案例判定标准</w:t>
      </w:r>
    </w:p>
    <w:p w14:paraId="5653ED8E">
      <w:pPr>
        <w:pStyle w:val="15"/>
        <w:spacing w:before="50" w:after="0"/>
        <w:ind w:firstLine="442"/>
        <w:rPr>
          <w:rFonts w:hint="eastAsia" w:ascii="仿宋" w:hAnsi="仿宋" w:eastAsia="仿宋" w:cs="Times New Roman"/>
          <w:color w:val="000000" w:themeColor="text1"/>
          <w:sz w:val="24"/>
          <w14:textFill>
            <w14:solidFill>
              <w14:schemeClr w14:val="tx1"/>
            </w14:solidFill>
          </w14:textFill>
        </w:rPr>
      </w:pPr>
      <w:r>
        <w:rPr>
          <w:rFonts w:hint="eastAsia" w:ascii="仿宋" w:hAnsi="仿宋" w:eastAsia="仿宋" w:cs="Times New Roman"/>
          <w:color w:val="000000" w:themeColor="text1"/>
          <w:sz w:val="24"/>
          <w14:textFill>
            <w14:solidFill>
              <w14:schemeClr w14:val="tx1"/>
            </w14:solidFill>
          </w14:textFill>
        </w:rPr>
        <w:t>参赛队伍提交的案例</w:t>
      </w:r>
      <w:r>
        <w:rPr>
          <w:rFonts w:ascii="仿宋" w:hAnsi="仿宋" w:eastAsia="仿宋" w:cs="Times New Roman"/>
          <w:color w:val="000000" w:themeColor="text1"/>
          <w:sz w:val="24"/>
          <w14:textFill>
            <w14:solidFill>
              <w14:schemeClr w14:val="tx1"/>
            </w14:solidFill>
          </w14:textFill>
        </w:rPr>
        <w:t>被认定为有效案例，须同时满足以下要求：</w:t>
      </w:r>
    </w:p>
    <w:p w14:paraId="579049FA">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至少包含 1 个有效 IC。有效 IC 必须能够在原始电路图或原始资料中核验，且属于原始电路功能组成。</w:t>
      </w:r>
    </w:p>
    <w:p w14:paraId="5572DF19">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IC 标注完整。IC 名称、型号或可识别标识应完整，全部实际使用的 pin 原则上均应标注。</w:t>
      </w:r>
    </w:p>
    <w:p w14:paraId="32E5B5C6">
      <w:pPr>
        <w:pStyle w:val="15"/>
        <w:numPr>
          <w:ilvl w:val="0"/>
          <w:numId w:val="6"/>
        </w:numPr>
        <w:spacing w:before="50" w:after="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IC 实际参与电路。IC 须至少通过规定数量的有效 pin 与其他有效元件、端口或电气网络形成可核验连接。</w:t>
      </w:r>
    </w:p>
    <w:p w14:paraId="317B31CA">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有效元件不少于 5 个。有效元件是对电路功能、供电、保护、滤波、接口、偏置、检测或信号处理具有独立且可核验作用的器件。孤立、重复、虚构、占位或无实际意义的元件不计入。</w:t>
      </w:r>
    </w:p>
    <w:p w14:paraId="5E31E973">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有效连接关系不少于 5 个。连接关系须形成真实电路结构并可由原始资料核验；孤立导线、重复连接、虚构连接、装饰性线段及无电气意义的</w:t>
      </w:r>
      <w:r>
        <w:rPr>
          <w:rFonts w:hint="eastAsia" w:ascii="仿宋" w:hAnsi="仿宋" w:eastAsia="仿宋" w:cs="Times New Roman"/>
          <w:color w:val="000000" w:themeColor="text1"/>
          <w:sz w:val="24"/>
          <w14:textFill>
            <w14:solidFill>
              <w14:schemeClr w14:val="tx1"/>
            </w14:solidFill>
          </w14:textFill>
        </w:rPr>
        <w:t>线</w:t>
      </w:r>
      <w:r>
        <w:rPr>
          <w:rFonts w:ascii="仿宋" w:hAnsi="仿宋" w:eastAsia="仿宋" w:cs="Times New Roman"/>
          <w:color w:val="000000" w:themeColor="text1"/>
          <w:sz w:val="24"/>
          <w14:textFill>
            <w14:solidFill>
              <w14:schemeClr w14:val="tx1"/>
            </w14:solidFill>
          </w14:textFill>
        </w:rPr>
        <w:t>段不计入。</w:t>
      </w:r>
    </w:p>
    <w:p w14:paraId="3BD5BD2A">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有效连接关系统一按唯一电气网络（net）计数：电气上连续且等电位的一组端点计为 1 个有效 net；同一 net 的序列化、折线分段、跨页引用展开、junction节点展开或 endpoint-pair 枚举均不增加计数。仅当存在明确电气隔离或经有效器件形成新的网络时，方可另计 1 个 net。机器评测以规范化 net 标识及端点集合去重后的结果为准。</w:t>
      </w:r>
    </w:p>
    <w:p w14:paraId="11C6CCAD">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案例须形成具有实际意义、能够独立核验的电路结构。元件、pin、net 及其对应关系均应与原始图一致。</w:t>
      </w:r>
    </w:p>
    <w:p w14:paraId="12A6C937">
      <w:pPr>
        <w:pStyle w:val="15"/>
        <w:numPr>
          <w:ilvl w:val="0"/>
          <w:numId w:val="6"/>
        </w:numPr>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单个 IC 的最低有效 pin 数按 IC 总 pin 数 N 分段计算（同一 pin 仅计 1 次），具体如下：</w:t>
      </w:r>
    </w:p>
    <w:p w14:paraId="2381F795">
      <w:pPr>
        <w:pStyle w:val="15"/>
        <w:spacing w:before="50" w:after="0"/>
        <w:ind w:left="885"/>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N ≤ 16：不少于 max(3，向上取整(N × 20%))；17 ≤ N ≤ 32：不少于 max(5，向上取整(N × 20%))；33 ≤ N ≤ 64：不少于 max(8，向上取整(N × 15%))；65 ≤ N ≤ 144：不少于 max(12，向上取整(N × 10%))；N ≥ 145：不少于 max(16，向上取整(N × 8%))。计算结果不得超过该 IC 在原始电路中实际使用的 pin 数；若原始资料能够证明器件本身仅使用较少 pin，可提交依据进入人工复核，但不得通过选择高 pin 数器件规避有效连接要求。</w:t>
      </w:r>
    </w:p>
    <w:p w14:paraId="4C03D63C">
      <w:pPr>
        <w:pStyle w:val="15"/>
        <w:spacing w:before="156" w:beforeLines="50" w:after="0"/>
        <w:rPr>
          <w:rFonts w:ascii="Times New Roman" w:hAnsi="Times New Roman" w:eastAsia="仿宋" w:cs="Times New Roman"/>
          <w:color w:val="000000" w:themeColor="text1"/>
          <w:sz w:val="24"/>
          <w14:textFill>
            <w14:solidFill>
              <w14:schemeClr w14:val="tx1"/>
            </w14:solidFill>
          </w14:textFill>
        </w:rPr>
      </w:pPr>
      <w:r>
        <w:rPr>
          <w:rFonts w:hint="eastAsia" w:ascii="Times New Roman" w:hAnsi="Times New Roman" w:eastAsia="仿宋" w:cs="Times New Roman"/>
          <w:color w:val="000000" w:themeColor="text1"/>
          <w:sz w:val="24"/>
          <w14:textFill>
            <w14:solidFill>
              <w14:schemeClr w14:val="tx1"/>
            </w14:solidFill>
          </w14:textFill>
        </w:rPr>
        <w:t>上述任一项不满足，或与赛题提供的200个训练数据重复的案例，将被</w:t>
      </w:r>
      <w:r>
        <w:rPr>
          <w:rFonts w:ascii="Times New Roman" w:hAnsi="Times New Roman" w:eastAsia="仿宋" w:cs="Times New Roman"/>
          <w:color w:val="000000" w:themeColor="text1"/>
          <w:sz w:val="24"/>
          <w14:textFill>
            <w14:solidFill>
              <w14:schemeClr w14:val="tx1"/>
            </w14:solidFill>
          </w14:textFill>
        </w:rPr>
        <w:t>判定为无效案例</w:t>
      </w:r>
      <w:r>
        <w:rPr>
          <w:rFonts w:hint="eastAsia" w:ascii="Times New Roman" w:hAnsi="Times New Roman" w:eastAsia="仿宋" w:cs="Times New Roman"/>
          <w:color w:val="000000" w:themeColor="text1"/>
          <w:sz w:val="24"/>
          <w14:textFill>
            <w14:solidFill>
              <w14:schemeClr w14:val="tx1"/>
            </w14:solidFill>
          </w14:textFill>
        </w:rPr>
        <w:t>，并不会被计分。</w:t>
      </w:r>
    </w:p>
    <w:p w14:paraId="3F71E381">
      <w:pPr>
        <w:pStyle w:val="14"/>
        <w:numPr>
          <w:ilvl w:val="0"/>
          <w:numId w:val="4"/>
        </w:numPr>
        <w:spacing w:after="156" w:after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标注数据评测</w:t>
      </w:r>
      <w:r>
        <w:rPr>
          <w:rFonts w:hint="eastAsia" w:ascii="仿宋" w:hAnsi="仿宋" w:eastAsia="仿宋" w:cs="Times New Roman"/>
          <w:color w:val="auto"/>
          <w:lang w:eastAsia="zh-CN"/>
        </w:rPr>
        <w:t>流程</w:t>
      </w:r>
    </w:p>
    <w:p w14:paraId="4F751B5E">
      <w:pPr>
        <w:pStyle w:val="37"/>
        <w:spacing w:after="50"/>
        <w:ind w:left="440"/>
        <w:rPr>
          <w:rFonts w:hint="eastAsia" w:ascii="仿宋" w:hAnsi="仿宋" w:eastAsia="仿宋" w:cs="Times New Roman"/>
          <w:color w:val="000000" w:themeColor="text1"/>
          <w:sz w:val="24"/>
          <w14:textFill>
            <w14:solidFill>
              <w14:schemeClr w14:val="tx1"/>
            </w14:solidFill>
          </w14:textFill>
        </w:rPr>
      </w:pPr>
      <w:r>
        <w:rPr>
          <w:rFonts w:hint="eastAsia" w:ascii="仿宋" w:hAnsi="仿宋" w:eastAsia="仿宋" w:cs="Times New Roman"/>
          <w:color w:val="000000" w:themeColor="text1"/>
          <w:sz w:val="24"/>
          <w14:textFill>
            <w14:solidFill>
              <w14:schemeClr w14:val="tx1"/>
            </w14:solidFill>
          </w14:textFill>
        </w:rPr>
        <w:t>标注数据评测采用“规范与有效性自动检查 + 形成有效数据池 + 达到20例后实施质量评测/人工抽检”的方法。流程如下：</w:t>
      </w:r>
    </w:p>
    <w:p w14:paraId="11510D93">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JSON/Schema、规范与有效性自动检查</w:t>
      </w:r>
    </w:p>
    <w:p w14:paraId="105B781C">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形成有效数据池</w:t>
      </w:r>
    </w:p>
    <w:p w14:paraId="6670E7AE">
      <w:pPr>
        <w:pStyle w:val="37"/>
        <w:numPr>
          <w:ilvl w:val="0"/>
          <w:numId w:val="7"/>
        </w:numPr>
        <w:spacing w:after="50"/>
        <w:rPr>
          <w:rFonts w:hint="eastAsia" w:ascii="仿宋" w:hAnsi="仿宋" w:eastAsia="仿宋" w:cs="Times New Roman"/>
          <w:color w:val="000000" w:themeColor="text1"/>
          <w:sz w:val="24"/>
          <w14:textFill>
            <w14:solidFill>
              <w14:schemeClr w14:val="tx1"/>
            </w14:solidFill>
          </w14:textFill>
        </w:rPr>
      </w:pPr>
      <w:r>
        <w:rPr>
          <w:rFonts w:ascii="仿宋" w:hAnsi="仿宋" w:eastAsia="仿宋" w:cs="Times New Roman"/>
          <w:color w:val="000000" w:themeColor="text1"/>
          <w:sz w:val="24"/>
          <w14:textFill>
            <w14:solidFill>
              <w14:schemeClr w14:val="tx1"/>
            </w14:solidFill>
          </w14:textFill>
        </w:rPr>
        <w:t>计分资格判定与质量评测/人工抽检</w:t>
      </w:r>
    </w:p>
    <w:p w14:paraId="5A54C989">
      <w:pPr>
        <w:pStyle w:val="14"/>
        <w:spacing w:after="50" w:line="278" w:lineRule="auto"/>
        <w:ind w:left="44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下面对流程中的每个步骤做出细化说明</w:t>
      </w:r>
    </w:p>
    <w:p w14:paraId="1BB07442">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JSON/Schema、规范与有效性自动检查</w:t>
      </w:r>
    </w:p>
    <w:p w14:paraId="74843821">
      <w:pPr>
        <w:spacing w:before="156" w:beforeLines="50" w:line="278" w:lineRule="auto"/>
        <w:ind w:firstLine="480" w:firstLineChars="200"/>
        <w:rPr>
          <w:rFonts w:hint="eastAsia" w:ascii="仿宋" w:hAnsi="仿宋" w:eastAsia="仿宋"/>
          <w:sz w:val="24"/>
          <w:szCs w:val="24"/>
          <w:lang w:eastAsia="zh-CN"/>
        </w:rPr>
      </w:pPr>
      <w:r>
        <w:rPr>
          <w:rFonts w:hint="eastAsia" w:ascii="仿宋" w:hAnsi="仿宋" w:eastAsia="仿宋"/>
          <w:sz w:val="24"/>
          <w:szCs w:val="24"/>
          <w:lang w:eastAsia="zh-CN"/>
        </w:rPr>
        <w:t>所有提交案例首先依据“有效案例判定标准”和现有数据规范开展有效性、格式及结构自动检查，主要包括：</w:t>
      </w:r>
    </w:p>
    <w:p w14:paraId="0F6A392F">
      <w:pPr>
        <w:pStyle w:val="13"/>
        <w:tabs>
          <w:tab w:val="left" w:pos="360"/>
        </w:tabs>
        <w:spacing w:before="156" w:beforeLines="50" w:after="0" w:line="278" w:lineRule="auto"/>
        <w:ind w:left="360" w:hanging="360"/>
        <w:rPr>
          <w:rFonts w:hint="eastAsia" w:ascii="仿宋" w:hAnsi="仿宋" w:eastAsia="仿宋"/>
          <w:sz w:val="24"/>
          <w:szCs w:val="24"/>
        </w:rPr>
      </w:pPr>
      <w:r>
        <w:rPr>
          <w:rFonts w:ascii="仿宋" w:hAnsi="仿宋" w:eastAsia="仿宋"/>
          <w:sz w:val="24"/>
          <w:szCs w:val="24"/>
        </w:rPr>
        <w:t>JSON 语法、必填字段、数据类型及枚举值符合指定 Schema；</w:t>
      </w:r>
    </w:p>
    <w:p w14:paraId="792088D4">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元件、pin、net、端点及连接 ID 唯一，引用关系存在且一致；</w:t>
      </w:r>
    </w:p>
    <w:p w14:paraId="702E152A">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连接关系经拓扑规范化后计数；系统应合并同一 net 的分段、别名、跨页引用及 endpoint 展开，并对端点集合去重；</w:t>
      </w:r>
    </w:p>
    <w:p w14:paraId="32EED8AE">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元件数量、有效 net 数、IC 总 pin 数及有效 pin 数可由结构化数据重复计算，申报值与复算值一致；</w:t>
      </w:r>
    </w:p>
    <w:p w14:paraId="0FFB5EC2">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不存在重复连接、无效引用、统计虚增、循环引用或结构损坏；</w:t>
      </w:r>
    </w:p>
    <w:p w14:paraId="396F0042">
      <w:pPr>
        <w:pStyle w:val="13"/>
        <w:tabs>
          <w:tab w:val="left" w:pos="360"/>
        </w:tabs>
        <w:spacing w:before="156" w:beforeLines="50" w:after="0" w:line="278" w:lineRule="auto"/>
        <w:ind w:left="360" w:hanging="360"/>
        <w:rPr>
          <w:rFonts w:hint="eastAsia" w:ascii="仿宋" w:hAnsi="仿宋" w:eastAsia="仿宋"/>
          <w:sz w:val="24"/>
          <w:szCs w:val="24"/>
          <w:lang w:eastAsia="zh-CN"/>
        </w:rPr>
      </w:pPr>
      <w:r>
        <w:rPr>
          <w:rFonts w:ascii="仿宋" w:hAnsi="仿宋" w:eastAsia="仿宋"/>
          <w:sz w:val="24"/>
          <w:szCs w:val="24"/>
          <w:lang w:eastAsia="zh-CN"/>
        </w:rPr>
        <w:t>文件命名、目录结构、图片格式及其他提交要求符合规定。</w:t>
      </w:r>
    </w:p>
    <w:p w14:paraId="7269BE43">
      <w:pPr>
        <w:spacing w:before="156" w:beforeLines="50" w:line="278" w:lineRule="auto"/>
        <w:ind w:firstLine="480" w:firstLineChars="200"/>
        <w:rPr>
          <w:rFonts w:hint="eastAsia" w:ascii="仿宋" w:hAnsi="仿宋" w:eastAsia="仿宋"/>
          <w:sz w:val="24"/>
          <w:szCs w:val="24"/>
          <w:lang w:eastAsia="zh-CN"/>
        </w:rPr>
      </w:pPr>
      <w:r>
        <w:rPr>
          <w:rFonts w:ascii="仿宋" w:hAnsi="仿宋" w:eastAsia="仿宋"/>
          <w:sz w:val="24"/>
          <w:szCs w:val="24"/>
          <w:lang w:eastAsia="zh-CN"/>
        </w:rPr>
        <w:t>不符合与赛题提供的200个训练数据不重复的要求、自动检查失败，或关键统计字段无法由规范化数据复算的案例，不计入有效数据池。仅自动检查全部通过的案例进入有效数据池。队伍的有效数据池达到至少20例后，方具备计分资格，并按有效数据池规模确定质量评测/人工抽检量。</w:t>
      </w:r>
    </w:p>
    <w:p w14:paraId="67D43BAF">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有效数据池、计分资格与人工抽检</w:t>
      </w:r>
    </w:p>
    <w:p w14:paraId="3D5512B6">
      <w:pPr>
        <w:spacing w:before="156" w:beforeLines="50" w:line="278" w:lineRule="auto"/>
        <w:ind w:firstLine="480" w:firstLineChars="200"/>
        <w:rPr>
          <w:rFonts w:hint="eastAsia" w:ascii="仿宋" w:hAnsi="仿宋" w:eastAsia="仿宋"/>
          <w:sz w:val="24"/>
          <w:szCs w:val="24"/>
          <w:lang w:eastAsia="zh-CN"/>
        </w:rPr>
      </w:pPr>
      <w:r>
        <w:rPr>
          <w:rFonts w:hint="eastAsia" w:ascii="仿宋" w:hAnsi="仿宋" w:eastAsia="仿宋"/>
          <w:sz w:val="24"/>
          <w:szCs w:val="24"/>
          <w:lang w:eastAsia="zh-CN"/>
        </w:rPr>
        <w:t>各支队伍提交的案例经规范与有效性自动检查后，符合要求的案例形成有效数据池。有效数据池少于20例时，不具备计分资格，不进入质量评测/人工抽检，也不产生计分结果；有效数据池达到至少20例后，方进入质量评测/人工抽检。对于抽检合格的批次，有效数据池内的全部有效案例被计分。</w:t>
      </w:r>
    </w:p>
    <w:p w14:paraId="6233ADB9">
      <w:pPr>
        <w:pStyle w:val="14"/>
        <w:numPr>
          <w:ilvl w:val="0"/>
          <w:numId w:val="8"/>
        </w:numPr>
        <w:spacing w:before="156" w:beforeLines="50" w:line="278" w:lineRule="auto"/>
        <w:jc w:val="both"/>
        <w:rPr>
          <w:rFonts w:hint="eastAsia" w:ascii="仿宋" w:hAnsi="仿宋" w:eastAsia="仿宋" w:cs="Times New Roman"/>
          <w:color w:val="auto"/>
          <w:lang w:eastAsia="zh-CN"/>
        </w:rPr>
      </w:pPr>
      <w:r>
        <w:rPr>
          <w:rFonts w:ascii="仿宋" w:hAnsi="仿宋" w:eastAsia="仿宋"/>
          <w:lang w:eastAsia="zh-CN"/>
        </w:rPr>
        <w:t>质量评测/人工抽检比例与质量要求</w:t>
      </w:r>
    </w:p>
    <w:p w14:paraId="2542B94A">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抽检范围：仅对已具备计分资格（有效数据池至少20例）的队伍实施质量评测/人工抽检。抽检量为 max(20，向上取整(有效案例数×10%))。抽取过程采用固定随机种子的方式复现。</w:t>
      </w:r>
    </w:p>
    <w:p w14:paraId="07CCC5EA">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cs="方正仿宋_GBK"/>
          <w:snapToGrid w:val="0"/>
          <w:color w:val="000000"/>
          <w:sz w:val="24"/>
          <w:szCs w:val="24"/>
          <w:lang w:eastAsia="zh-CN"/>
        </w:rPr>
        <w:t>F1 计算口径。连接关系质量以 Precision、Recall、F1 为核心。每个抽检案例在规范化 net 层面分别计算 TP、FP、FN：Precision = TP/(TP+FP)，Recall = TP/(TP+FN)，F1 = 2PR/(P+R)。分母为 0 时按评测平台统一约定处理并记录。批次聚合采用微平均：先汇总全部抽检案例的 TP、FP、FN，再计算批次 Precision、Recall、F1。批次 F1 须不低于 95%，且任一单案例 F1 不得低于 85%</w:t>
      </w:r>
      <w:r>
        <w:rPr>
          <w:rFonts w:ascii="仿宋" w:hAnsi="仿宋" w:eastAsia="仿宋"/>
          <w:sz w:val="24"/>
          <w:szCs w:val="24"/>
          <w:lang w:eastAsia="zh-CN"/>
        </w:rPr>
        <w:t>。</w:t>
      </w:r>
    </w:p>
    <w:p w14:paraId="55D151A9">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其他质量检查。除 F1 外，同时检查：</w:t>
      </w:r>
    </w:p>
    <w:p w14:paraId="5A36AE50">
      <w:pPr>
        <w:pStyle w:val="13"/>
        <w:tabs>
          <w:tab w:val="left" w:pos="360"/>
        </w:tabs>
        <w:spacing w:before="156" w:beforeLines="50" w:after="0" w:line="278" w:lineRule="auto"/>
        <w:ind w:left="719" w:leftChars="171" w:hanging="360"/>
        <w:rPr>
          <w:rFonts w:hint="eastAsia" w:ascii="仿宋" w:hAnsi="仿宋" w:eastAsia="仿宋"/>
          <w:sz w:val="24"/>
          <w:szCs w:val="24"/>
          <w:lang w:eastAsia="zh-CN"/>
        </w:rPr>
      </w:pPr>
      <w:r>
        <w:rPr>
          <w:rFonts w:ascii="仿宋" w:hAnsi="仿宋" w:eastAsia="仿宋" w:cs="方正仿宋_GBK"/>
          <w:snapToGrid w:val="0"/>
          <w:color w:val="000000"/>
          <w:sz w:val="24"/>
          <w:szCs w:val="24"/>
          <w:lang w:eastAsia="zh-CN"/>
        </w:rPr>
        <w:t>元件、端点及 pin 标注是否正确，是否存在漏标、错标或无法核验内容</w:t>
      </w:r>
      <w:r>
        <w:rPr>
          <w:rFonts w:ascii="仿宋" w:hAnsi="仿宋" w:eastAsia="仿宋"/>
          <w:sz w:val="24"/>
          <w:szCs w:val="24"/>
          <w:lang w:eastAsia="zh-CN"/>
        </w:rPr>
        <w:t>；</w:t>
      </w:r>
    </w:p>
    <w:p w14:paraId="7ECA1ECE">
      <w:pPr>
        <w:pStyle w:val="13"/>
        <w:tabs>
          <w:tab w:val="left" w:pos="360"/>
        </w:tabs>
        <w:spacing w:before="156" w:beforeLines="50" w:after="0" w:line="278" w:lineRule="auto"/>
        <w:ind w:left="780" w:leftChars="200" w:hanging="360"/>
        <w:rPr>
          <w:rFonts w:hint="eastAsia" w:ascii="仿宋" w:hAnsi="仿宋" w:eastAsia="仿宋"/>
          <w:sz w:val="24"/>
          <w:szCs w:val="24"/>
          <w:lang w:eastAsia="zh-CN"/>
        </w:rPr>
      </w:pPr>
      <w:r>
        <w:rPr>
          <w:rFonts w:ascii="仿宋" w:hAnsi="仿宋" w:eastAsia="仿宋"/>
          <w:sz w:val="24"/>
          <w:szCs w:val="24"/>
          <w:lang w:eastAsia="zh-CN"/>
        </w:rPr>
        <w:t>I</w:t>
      </w:r>
      <w:r>
        <w:rPr>
          <w:rFonts w:ascii="仿宋" w:hAnsi="仿宋" w:eastAsia="仿宋" w:cs="方正仿宋_GBK"/>
          <w:snapToGrid w:val="0"/>
          <w:color w:val="000000"/>
          <w:sz w:val="24"/>
          <w:szCs w:val="24"/>
          <w:lang w:eastAsia="zh-CN"/>
        </w:rPr>
        <w:t>C 总 pin、有效 pin 与连接关系是否一致，案例内容与原始图及结构化数据是否一致；</w:t>
      </w:r>
    </w:p>
    <w:p w14:paraId="2B0CCCAF">
      <w:pPr>
        <w:pStyle w:val="13"/>
        <w:tabs>
          <w:tab w:val="left" w:pos="360"/>
        </w:tabs>
        <w:spacing w:before="156" w:beforeLines="50" w:after="0" w:line="278" w:lineRule="auto"/>
        <w:ind w:left="719" w:leftChars="171" w:hanging="360"/>
        <w:rPr>
          <w:rFonts w:hint="eastAsia" w:ascii="仿宋" w:hAnsi="仿宋" w:eastAsia="仿宋"/>
          <w:sz w:val="24"/>
          <w:szCs w:val="24"/>
          <w:lang w:eastAsia="zh-CN"/>
        </w:rPr>
      </w:pPr>
      <w:r>
        <w:rPr>
          <w:rFonts w:ascii="仿宋" w:hAnsi="仿宋" w:eastAsia="仿宋"/>
          <w:sz w:val="24"/>
          <w:szCs w:val="24"/>
          <w:lang w:eastAsia="zh-CN"/>
        </w:rPr>
        <w:t>是否存在重复、拆图、结构复制、等价拆分等情形。</w:t>
      </w:r>
    </w:p>
    <w:p w14:paraId="34DAB472">
      <w:pPr>
        <w:pStyle w:val="12"/>
        <w:numPr>
          <w:ilvl w:val="0"/>
          <w:numId w:val="9"/>
        </w:numPr>
        <w:spacing w:before="156" w:beforeLines="50" w:after="0" w:line="278" w:lineRule="auto"/>
        <w:ind w:left="480" w:hanging="480"/>
        <w:rPr>
          <w:rFonts w:hint="eastAsia" w:ascii="仿宋" w:hAnsi="仿宋" w:eastAsia="仿宋"/>
          <w:sz w:val="24"/>
          <w:szCs w:val="24"/>
          <w:lang w:eastAsia="zh-CN"/>
        </w:rPr>
      </w:pPr>
      <w:r>
        <w:rPr>
          <w:rFonts w:ascii="仿宋" w:hAnsi="仿宋" w:eastAsia="仿宋"/>
          <w:sz w:val="24"/>
          <w:szCs w:val="24"/>
          <w:lang w:eastAsia="zh-CN"/>
        </w:rPr>
        <w:t>质量要求：抽检案例中，连接关系批次平均 F1 不低于95%，且任一单案例 F1 不得低于85%，同时满足上述其他质量检查要求，方视为该批次抽检合格。若抽检未达到上述质量标准，则默认该批有效数据池中的数据全部不合格，不再继续检查或复核，该批数据不参与计分；抽检合格批次中，只有已进入有效数据池并符合现有质量要求的数据参与计分。</w:t>
      </w:r>
    </w:p>
    <w:p w14:paraId="57E078E3">
      <w:pPr>
        <w:pStyle w:val="14"/>
        <w:numPr>
          <w:ilvl w:val="0"/>
          <w:numId w:val="4"/>
        </w:numPr>
        <w:spacing w:before="156" w:beforeLines="50" w:line="278" w:lineRule="auto"/>
        <w:ind w:hanging="442"/>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打分办法</w:t>
      </w:r>
    </w:p>
    <w:p w14:paraId="0B1F038B">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总分为10分。</w:t>
      </w:r>
    </w:p>
    <w:p w14:paraId="4781CE52">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参赛队伍提交的图片/案例与赛题提供的200个训练数据不重复，并且满足提交格式要求，经自动检查进入有效数据池的案例数达到20例，方具备计分资格。</w:t>
      </w:r>
    </w:p>
    <w:p w14:paraId="64B7983B">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最终得分计算方法：参赛队伍提交的案例经自动检查后，符合规范和有效性要求的，纳入有效数据池。有效数据池达到20例及以上的队伍，方可进入质量评测人工抽检。</w:t>
      </w:r>
      <w:r>
        <w:rPr>
          <w:rFonts w:ascii="仿宋" w:hAnsi="仿宋" w:eastAsia="仿宋" w:cs="Times New Roman"/>
          <w:color w:val="000000" w:themeColor="text1"/>
          <w:lang w:eastAsia="zh-CN"/>
          <w14:textFill>
            <w14:solidFill>
              <w14:schemeClr w14:val="tx1"/>
            </w14:solidFill>
          </w14:textFill>
        </w:rPr>
        <w:t>仅当该批次抽检合格时，有效数据池内的全部有效案例计入该队伍的计分数量 Q_i</w:t>
      </w:r>
      <w:r>
        <w:rPr>
          <w:rFonts w:hint="eastAsia" w:ascii="仿宋" w:hAnsi="仿宋" w:eastAsia="仿宋" w:cs="Times New Roman"/>
          <w:color w:val="000000" w:themeColor="text1"/>
          <w:lang w:eastAsia="zh-CN"/>
          <w14:textFill>
            <w14:solidFill>
              <w14:schemeClr w14:val="tx1"/>
            </w14:solidFill>
          </w14:textFill>
        </w:rPr>
        <w:t>；未达到上述条件的案例不计分。</w:t>
      </w:r>
    </w:p>
    <w:p w14:paraId="5D934116">
      <w:pPr>
        <w:pStyle w:val="14"/>
        <w:numPr>
          <w:ilvl w:val="0"/>
          <w:numId w:val="10"/>
        </w:numPr>
        <w:spacing w:before="156" w:beforeLines="50" w:line="278" w:lineRule="auto"/>
        <w:ind w:hanging="442"/>
        <w:jc w:val="both"/>
        <w:rPr>
          <w:rFonts w:hint="eastAsia" w:ascii="仿宋" w:hAnsi="仿宋" w:eastAsia="仿宋" w:cs="Times New Roman"/>
          <w:color w:val="000000" w:themeColor="text1"/>
          <w:lang w:eastAsia="zh-CN"/>
          <w14:textFill>
            <w14:solidFill>
              <w14:schemeClr w14:val="tx1"/>
            </w14:solidFill>
          </w14:textFill>
        </w:rPr>
      </w:pPr>
      <w:r>
        <w:rPr>
          <w:rFonts w:hint="eastAsia" w:ascii="仿宋" w:hAnsi="仿宋" w:eastAsia="仿宋" w:cs="Times New Roman"/>
          <w:color w:val="000000" w:themeColor="text1"/>
          <w:lang w:eastAsia="zh-CN"/>
          <w14:textFill>
            <w14:solidFill>
              <w14:schemeClr w14:val="tx1"/>
            </w14:solidFill>
          </w14:textFill>
        </w:rPr>
        <w:t>最终得分：设第 i 支参赛队伍在有效数据池至少达到20例并通过质量评测/人工抽检后，可计入的符合质量要求的有效案例数量为 Q_i；所有具备计分资格的参赛队伍中的最高计入数量为 Q_max，则该队伍数据得分为 10 × Q_i / Q_max；当 Q_max 为0时，该部分得分均为0。</w:t>
      </w:r>
    </w:p>
    <w:p w14:paraId="0F5BE5D9">
      <w:pPr>
        <w:pStyle w:val="14"/>
        <w:numPr>
          <w:ilvl w:val="0"/>
          <w:numId w:val="4"/>
        </w:numPr>
        <w:spacing w:before="156" w:before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赛题提交格式说明</w:t>
      </w:r>
    </w:p>
    <w:p w14:paraId="538D79D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参赛队伍应将本次提交内容整理为一个 ZIP 压缩包，并通过赛题评测平台上传。提交包命名、数据集内部目录结构如下。</w:t>
      </w:r>
    </w:p>
    <w:p w14:paraId="758910C9">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1. 提交包命名</w:t>
      </w:r>
    </w:p>
    <w:p w14:paraId="4B343F1B">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w:t>
      </w:r>
      <w:r>
        <w:rPr>
          <w:rFonts w:hint="eastAsia" w:ascii="仿宋" w:hAnsi="仿宋" w:eastAsia="仿宋" w:cs="Times New Roman"/>
          <w:color w:val="auto"/>
          <w:lang w:eastAsia="zh-CN"/>
        </w:rPr>
        <w:t>1</w:t>
      </w:r>
      <w:r>
        <w:rPr>
          <w:rFonts w:ascii="仿宋" w:hAnsi="仿宋" w:eastAsia="仿宋" w:cs="Times New Roman"/>
          <w:color w:val="auto"/>
          <w:lang w:eastAsia="zh-CN"/>
        </w:rPr>
        <w:t>）提交包命名：team_&lt;队伍标识&gt;_result_dataset.zip。文件名中的 dataset 标识不区分大小写，但建议统一使用小写。</w:t>
      </w:r>
    </w:p>
    <w:p w14:paraId="2E65BD7C">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压缩包内</w:t>
      </w:r>
      <w:r>
        <w:rPr>
          <w:rFonts w:hint="eastAsia" w:ascii="仿宋" w:hAnsi="仿宋" w:eastAsia="仿宋" w:cs="Times New Roman"/>
          <w:color w:val="auto"/>
          <w:lang w:eastAsia="zh-CN"/>
        </w:rPr>
        <w:t>需</w:t>
      </w:r>
      <w:r>
        <w:rPr>
          <w:rFonts w:ascii="仿宋" w:hAnsi="仿宋" w:eastAsia="仿宋" w:cs="Times New Roman"/>
          <w:color w:val="auto"/>
          <w:lang w:eastAsia="zh-CN"/>
        </w:rPr>
        <w:t>同时包含规定的数据说明文档和 dataset/ 数据目录，仅修改文件名或仅附带部分数据文件，均不视为完成数据集提交。</w:t>
      </w:r>
    </w:p>
    <w:p w14:paraId="10230D40">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2. 压缩包内部目录</w:t>
      </w:r>
    </w:p>
    <w:p w14:paraId="005328A2">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提交包顶层应包含： dataset/</w:t>
      </w:r>
      <w:r>
        <w:rPr>
          <w:rFonts w:hint="eastAsia" w:ascii="仿宋" w:hAnsi="仿宋" w:eastAsia="仿宋" w:cs="Times New Roman"/>
          <w:color w:val="auto"/>
          <w:lang w:eastAsia="zh-CN"/>
        </w:rPr>
        <w:t>目录</w:t>
      </w:r>
      <w:r>
        <w:rPr>
          <w:rFonts w:ascii="仿宋" w:hAnsi="仿宋" w:eastAsia="仿宋" w:cs="Times New Roman"/>
          <w:color w:val="auto"/>
          <w:lang w:eastAsia="zh-CN"/>
        </w:rPr>
        <w:t>，以及 dataset_description.pdf 或 dataset_description.docx。除本指南明确规定的内容外，评测平台要求的其他文件以平台页面说明为准。</w:t>
      </w:r>
    </w:p>
    <w:p w14:paraId="42C3E923">
      <w:pPr>
        <w:pStyle w:val="14"/>
        <w:numPr>
          <w:ilvl w:val="0"/>
          <w:numId w:val="10"/>
        </w:numPr>
        <w:spacing w:before="156" w:beforeLines="50" w:line="278" w:lineRule="auto"/>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数据说明文档</w:t>
      </w:r>
    </w:p>
    <w:p w14:paraId="70215970">
      <w:pPr>
        <w:pStyle w:val="14"/>
        <w:spacing w:before="156" w:beforeLines="50" w:line="278" w:lineRule="auto"/>
        <w:ind w:left="44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数据说明文档可以是pdf或者word文档格式。内容需</w:t>
      </w:r>
      <w:r>
        <w:rPr>
          <w:rFonts w:ascii="仿宋" w:hAnsi="仿宋" w:eastAsia="仿宋" w:cs="Times New Roman"/>
          <w:color w:val="auto"/>
          <w:lang w:eastAsia="zh-CN"/>
        </w:rPr>
        <w:t>介绍数据来源、数量、许可或授权情况、及必要的使用说明</w:t>
      </w:r>
      <w:r>
        <w:rPr>
          <w:rFonts w:hint="eastAsia" w:ascii="仿宋" w:hAnsi="仿宋" w:eastAsia="仿宋" w:cs="Times New Roman"/>
          <w:color w:val="auto"/>
          <w:lang w:eastAsia="zh-CN"/>
        </w:rPr>
        <w:t>。其中需对使用的坐标系做出说明。</w:t>
      </w:r>
    </w:p>
    <w:p w14:paraId="21785261">
      <w:pPr>
        <w:pStyle w:val="14"/>
        <w:numPr>
          <w:ilvl w:val="0"/>
          <w:numId w:val="11"/>
        </w:numPr>
        <w:spacing w:before="156" w:beforeLines="50" w:line="278" w:lineRule="auto"/>
        <w:jc w:val="both"/>
        <w:rPr>
          <w:rFonts w:hint="eastAsia" w:ascii="仿宋" w:hAnsi="仿宋" w:eastAsia="仿宋" w:cs="Times New Roman"/>
          <w:color w:val="auto"/>
          <w:lang w:eastAsia="zh-CN"/>
        </w:rPr>
      </w:pPr>
      <w:r>
        <w:rPr>
          <w:rFonts w:ascii="仿宋" w:hAnsi="仿宋" w:eastAsia="仿宋" w:cs="Times New Roman"/>
          <w:color w:val="auto"/>
          <w:lang w:eastAsia="zh-CN"/>
        </w:rPr>
        <w:t>坐标系声明（必须）</w:t>
      </w:r>
    </w:p>
    <w:p w14:paraId="1FFD1567">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必须在提交的</w:t>
      </w:r>
      <w:r>
        <w:rPr>
          <w:rFonts w:ascii="仿宋" w:hAnsi="仿宋" w:eastAsia="仿宋" w:cs="Times New Roman"/>
          <w:lang w:eastAsia="zh-CN"/>
        </w:rPr>
        <w:t>数据说明文档</w:t>
      </w:r>
      <w:r>
        <w:rPr>
          <w:rFonts w:ascii="仿宋" w:hAnsi="仿宋" w:eastAsia="仿宋" w:cs="Times New Roman"/>
          <w:color w:val="auto"/>
          <w:lang w:eastAsia="zh-CN"/>
        </w:rPr>
        <w:t>中声明坐标原点与轴向。</w:t>
      </w:r>
    </w:p>
    <w:p w14:paraId="4B2AD2C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绝对坐标（图内像素坐标）：统一以图片左上角为原点，x 轴向右增大，y 轴向下增大；一律为像素整数，粒度为 1 像素，不接受浮点数；元件框、引脚点、导线点、文本框等所有绝对坐标均适用；若历史绝对坐标为浮点数，须取整为像素整数后提交。</w:t>
      </w:r>
    </w:p>
    <w:p w14:paraId="44E60021">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 相对坐标（归一化坐标，如相对图片宽高的</w:t>
      </w:r>
      <w:r>
        <w:rPr>
          <w:rFonts w:ascii="仿宋" w:hAnsi="仿宋" w:eastAsia="仿宋" w:cs="Times New Roman"/>
          <w:color w:val="C00000"/>
          <w:lang w:eastAsia="zh-CN"/>
        </w:rPr>
        <w:t xml:space="preserve"> 0-1</w:t>
      </w:r>
      <w:r>
        <w:rPr>
          <w:rFonts w:ascii="仿宋" w:hAnsi="仿宋" w:eastAsia="仿宋" w:cs="Times New Roman"/>
          <w:color w:val="auto"/>
          <w:lang w:eastAsia="zh-CN"/>
        </w:rPr>
        <w:t xml:space="preserve"> 比例、相对所属元件框的比例偏移）：允许浮点数，但必须在文档中声明归一化基准（相对于整图还是相对于元件框）。</w:t>
      </w:r>
    </w:p>
    <w:p w14:paraId="114A8E3E">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hint="eastAsia" w:ascii="仿宋" w:hAnsi="仿宋" w:eastAsia="仿宋" w:cs="Times New Roman"/>
          <w:color w:val="auto"/>
          <w:lang w:eastAsia="zh-CN"/>
        </w:rPr>
        <w:t xml:space="preserve">4. </w:t>
      </w:r>
      <w:r>
        <w:rPr>
          <w:rFonts w:ascii="仿宋" w:hAnsi="仿宋" w:eastAsia="仿宋" w:cs="Times New Roman"/>
          <w:color w:val="auto"/>
          <w:lang w:eastAsia="zh-CN"/>
        </w:rPr>
        <w:t>数据集案例文件命名</w:t>
      </w:r>
    </w:p>
    <w:p w14:paraId="743FADA0">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dataset/ 目录中的每个案例应使用统一且唯一的 case_id。同一张原理图的原图、JSON必须保持相同case_id，例如：case_0001.png、case_0001.json。</w:t>
      </w:r>
    </w:p>
    <w:p w14:paraId="4C3C66C7">
      <w:pPr>
        <w:pStyle w:val="14"/>
        <w:spacing w:before="156" w:beforeLines="50" w:line="278" w:lineRule="auto"/>
        <w:ind w:left="28" w:firstLine="480" w:firstLineChars="200"/>
        <w:jc w:val="both"/>
        <w:rPr>
          <w:rFonts w:hint="eastAsia" w:ascii="仿宋" w:hAnsi="仿宋" w:eastAsia="仿宋" w:cs="Times New Roman"/>
          <w:color w:val="auto"/>
          <w:lang w:eastAsia="zh-CN"/>
        </w:rPr>
      </w:pPr>
      <w:r>
        <w:rPr>
          <w:rFonts w:ascii="仿宋" w:hAnsi="仿宋" w:eastAsia="仿宋" w:cs="Times New Roman"/>
          <w:color w:val="auto"/>
          <w:lang w:eastAsia="zh-CN"/>
        </w:rPr>
        <w:t>队伍标识和 case_id 应仅使用 ASCII 字母、数字和下划线，避免中文、空格及特殊符号；队伍标识在赛题范围内应可唯一识别队伍，case_id 在一次提交中不得重复。</w:t>
      </w:r>
    </w:p>
    <w:p w14:paraId="59E8F223">
      <w:pPr>
        <w:pStyle w:val="14"/>
        <w:numPr>
          <w:ilvl w:val="0"/>
          <w:numId w:val="4"/>
        </w:numPr>
        <w:spacing w:before="156" w:beforeLines="50" w:line="500" w:lineRule="exact"/>
        <w:jc w:val="both"/>
        <w:rPr>
          <w:rFonts w:ascii="Times New Roman" w:hAnsi="Times New Roman" w:eastAsia="仿宋" w:cs="Times New Roman"/>
          <w:color w:val="auto"/>
          <w:lang w:eastAsia="zh-CN"/>
        </w:rPr>
      </w:pPr>
      <w:r>
        <w:rPr>
          <w:rFonts w:ascii="Times New Roman" w:hAnsi="Times New Roman" w:eastAsia="仿宋" w:cs="Times New Roman"/>
          <w:color w:val="auto"/>
          <w:lang w:eastAsia="zh-CN"/>
        </w:rPr>
        <w:t>参考文献</w:t>
      </w:r>
    </w:p>
    <w:p w14:paraId="589E1044">
      <w:pPr>
        <w:spacing w:line="500" w:lineRule="exact"/>
        <w:ind w:right="102" w:firstLine="17"/>
        <w:jc w:val="both"/>
        <w:rPr>
          <w:rFonts w:ascii="Times New Roman" w:hAnsi="Times New Roman" w:cs="Times New Roman" w:eastAsiaTheme="minorEastAsia"/>
          <w:color w:val="auto"/>
          <w:spacing w:val="-1"/>
          <w:sz w:val="24"/>
          <w:szCs w:val="24"/>
          <w:lang w:eastAsia="zh-CN"/>
        </w:rPr>
      </w:pPr>
      <w:r>
        <w:rPr>
          <w:rFonts w:ascii="Times New Roman" w:hAnsi="Times New Roman" w:eastAsia="仿宋" w:cs="Times New Roman"/>
          <w:color w:val="auto"/>
          <w:spacing w:val="-1"/>
          <w:sz w:val="24"/>
          <w:szCs w:val="24"/>
        </w:rPr>
        <w:t>[1]</w:t>
      </w:r>
      <w:r>
        <w:rPr>
          <w:rFonts w:ascii="Times New Roman" w:hAnsi="Times New Roman" w:cs="Times New Roman"/>
        </w:rPr>
        <w:t xml:space="preserve"> Zhen Huang</w:t>
      </w:r>
      <w:r>
        <w:rPr>
          <w:rFonts w:ascii="Times New Roman" w:hAnsi="Times New Roman" w:eastAsia="宋体" w:cs="Times New Roman"/>
        </w:rPr>
        <w:t>，</w:t>
      </w:r>
      <w:r>
        <w:rPr>
          <w:rFonts w:ascii="Times New Roman" w:hAnsi="Times New Roman" w:cs="Times New Roman"/>
        </w:rPr>
        <w:t>Yuhao Gao, Yuzhi Liu, Daian Cheng, Chengyuan Shao, Yucheng Chen, Yongjian Jia, Futing Zhang, Yichen Shi, Wenhao Wang, Zuyan He, Yangbo Wei, Zhanfei Chen, Jinlong Yan, Yu Zhang, Haoying Wu, Ting-Jung Lin, Lei He</w:t>
      </w:r>
      <w:r>
        <w:rPr>
          <w:rFonts w:ascii="Times New Roman" w:hAnsi="Times New Roman" w:eastAsia="宋体" w:cs="Times New Roman"/>
        </w:rPr>
        <w:t>，</w:t>
      </w:r>
      <w:r>
        <w:rPr>
          <w:rFonts w:ascii="Times New Roman" w:hAnsi="Times New Roman" w:cs="Times New Roman"/>
        </w:rPr>
        <w:t xml:space="preserve"> PCBnet: A Dataset and Automatic Constructing of SPICE Netlists from Schematic Images</w:t>
      </w:r>
      <w:r>
        <w:rPr>
          <w:rFonts w:ascii="Times New Roman" w:hAnsi="Times New Roman" w:eastAsia="宋体" w:cs="Times New Roman"/>
        </w:rPr>
        <w:t>，</w:t>
      </w:r>
      <w:r>
        <w:rPr>
          <w:rFonts w:ascii="Times New Roman" w:hAnsi="Times New Roman" w:cs="Times New Roman"/>
        </w:rPr>
        <w:t>IEEE LAD 2026</w:t>
      </w:r>
      <w:r>
        <w:rPr>
          <w:rFonts w:ascii="Times New Roman" w:hAnsi="Times New Roman" w:eastAsia="宋体" w:cs="Times New Roman"/>
        </w:rPr>
        <w:t>，</w:t>
      </w:r>
      <w:r>
        <w:rPr>
          <w:rFonts w:ascii="Times New Roman" w:hAnsi="Times New Roman" w:cs="Times New Roman"/>
        </w:rPr>
        <w:t xml:space="preserve"> J</w:t>
      </w:r>
      <w:r>
        <w:rPr>
          <w:rFonts w:ascii="Times New Roman" w:hAnsi="Times New Roman" w:cs="Times New Roman"/>
          <w:lang w:eastAsia="zh-CN"/>
        </w:rPr>
        <w:t>uly</w:t>
      </w:r>
      <w:r>
        <w:rPr>
          <w:rFonts w:ascii="Times New Roman" w:hAnsi="Times New Roman" w:cs="Times New Roman"/>
        </w:rPr>
        <w:t xml:space="preserve"> 29-31</w:t>
      </w:r>
    </w:p>
    <w:p w14:paraId="42E2DB97">
      <w:pPr>
        <w:rPr>
          <w:rFonts w:ascii="Times New Roman" w:hAnsi="Times New Roman" w:cs="Times New Roman" w:eastAsiaTheme="minorEastAsia"/>
          <w:lang w:eastAsia="zh-CN"/>
        </w:rPr>
      </w:pPr>
    </w:p>
    <w:p w14:paraId="15E59F54">
      <w:pPr>
        <w:rPr>
          <w:rFonts w:ascii="Times New Roman" w:hAnsi="Times New Roman" w:cs="Times New Roman"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方正仿宋_GBK">
    <w:altName w:val="微软雅黑"/>
    <w:panose1 w:val="00000000000000000000"/>
    <w:charset w:val="86"/>
    <w:family w:val="auto"/>
    <w:pitch w:val="default"/>
    <w:sig w:usb0="00000000" w:usb1="00000000" w:usb2="00082016" w:usb3="00000000" w:csb0="00040001"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hangingChars="200"/>
      </w:p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2">
    <w:nsid w:val="10C17519"/>
    <w:multiLevelType w:val="multilevel"/>
    <w:tmpl w:val="10C17519"/>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152D06FA"/>
    <w:multiLevelType w:val="multilevel"/>
    <w:tmpl w:val="152D06FA"/>
    <w:lvl w:ilvl="0" w:tentative="0">
      <w:start w:val="1"/>
      <w:numFmt w:val="chineseCountingThousand"/>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4">
    <w:nsid w:val="26CD5145"/>
    <w:multiLevelType w:val="multilevel"/>
    <w:tmpl w:val="26CD514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9946E79"/>
    <w:multiLevelType w:val="multilevel"/>
    <w:tmpl w:val="49946E79"/>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6">
    <w:nsid w:val="52C1759B"/>
    <w:multiLevelType w:val="multilevel"/>
    <w:tmpl w:val="52C1759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02079E6"/>
    <w:multiLevelType w:val="multilevel"/>
    <w:tmpl w:val="602079E6"/>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8">
    <w:nsid w:val="67295076"/>
    <w:multiLevelType w:val="multilevel"/>
    <w:tmpl w:val="67295076"/>
    <w:lvl w:ilvl="0" w:tentative="0">
      <w:start w:val="1"/>
      <w:numFmt w:val="chineseCountingThousand"/>
      <w:lvlText w:val="%1、"/>
      <w:lvlJc w:val="left"/>
      <w:pPr>
        <w:ind w:left="440" w:hanging="440"/>
      </w:pPr>
      <w:rPr>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C5D675E"/>
    <w:multiLevelType w:val="multilevel"/>
    <w:tmpl w:val="6C5D675E"/>
    <w:lvl w:ilvl="0" w:tentative="0">
      <w:start w:val="1"/>
      <w:numFmt w:val="decimal"/>
      <w:lvlText w:val="%1."/>
      <w:lvlJc w:val="left"/>
      <w:pPr>
        <w:ind w:left="882" w:hanging="440"/>
      </w:pPr>
    </w:lvl>
    <w:lvl w:ilvl="1" w:tentative="0">
      <w:start w:val="1"/>
      <w:numFmt w:val="lowerLetter"/>
      <w:lvlText w:val="%2)"/>
      <w:lvlJc w:val="left"/>
      <w:pPr>
        <w:ind w:left="1322" w:hanging="440"/>
      </w:pPr>
    </w:lvl>
    <w:lvl w:ilvl="2" w:tentative="0">
      <w:start w:val="1"/>
      <w:numFmt w:val="lowerRoman"/>
      <w:lvlText w:val="%3."/>
      <w:lvlJc w:val="right"/>
      <w:pPr>
        <w:ind w:left="1762" w:hanging="440"/>
      </w:pPr>
    </w:lvl>
    <w:lvl w:ilvl="3" w:tentative="0">
      <w:start w:val="1"/>
      <w:numFmt w:val="decimal"/>
      <w:lvlText w:val="%4."/>
      <w:lvlJc w:val="left"/>
      <w:pPr>
        <w:ind w:left="2202" w:hanging="440"/>
      </w:pPr>
    </w:lvl>
    <w:lvl w:ilvl="4" w:tentative="0">
      <w:start w:val="1"/>
      <w:numFmt w:val="lowerLetter"/>
      <w:lvlText w:val="%5)"/>
      <w:lvlJc w:val="left"/>
      <w:pPr>
        <w:ind w:left="2642" w:hanging="440"/>
      </w:pPr>
    </w:lvl>
    <w:lvl w:ilvl="5" w:tentative="0">
      <w:start w:val="1"/>
      <w:numFmt w:val="lowerRoman"/>
      <w:lvlText w:val="%6."/>
      <w:lvlJc w:val="right"/>
      <w:pPr>
        <w:ind w:left="3082" w:hanging="440"/>
      </w:pPr>
    </w:lvl>
    <w:lvl w:ilvl="6" w:tentative="0">
      <w:start w:val="1"/>
      <w:numFmt w:val="decimal"/>
      <w:lvlText w:val="%7."/>
      <w:lvlJc w:val="left"/>
      <w:pPr>
        <w:ind w:left="3522" w:hanging="440"/>
      </w:pPr>
    </w:lvl>
    <w:lvl w:ilvl="7" w:tentative="0">
      <w:start w:val="1"/>
      <w:numFmt w:val="lowerLetter"/>
      <w:lvlText w:val="%8)"/>
      <w:lvlJc w:val="left"/>
      <w:pPr>
        <w:ind w:left="3962" w:hanging="440"/>
      </w:pPr>
    </w:lvl>
    <w:lvl w:ilvl="8" w:tentative="0">
      <w:start w:val="1"/>
      <w:numFmt w:val="lowerRoman"/>
      <w:lvlText w:val="%9."/>
      <w:lvlJc w:val="right"/>
      <w:pPr>
        <w:ind w:left="4402" w:hanging="440"/>
      </w:pPr>
    </w:lvl>
  </w:abstractNum>
  <w:num w:numId="1">
    <w:abstractNumId w:val="0"/>
  </w:num>
  <w:num w:numId="2">
    <w:abstractNumId w:val="1"/>
  </w:num>
  <w:num w:numId="3">
    <w:abstractNumId w:val="6"/>
  </w:num>
  <w:num w:numId="4">
    <w:abstractNumId w:val="8"/>
  </w:num>
  <w:num w:numId="5">
    <w:abstractNumId w:val="4"/>
  </w:num>
  <w:num w:numId="6">
    <w:abstractNumId w:val="9"/>
  </w:num>
  <w:num w:numId="7">
    <w:abstractNumId w:val="7"/>
  </w:num>
  <w:num w:numId="8">
    <w:abstractNumId w:val="3"/>
  </w:num>
  <w:num w:numId="9">
    <w:abstractNumId w:val="0"/>
    <w:lvlOverride w:ilvl="0">
      <w:startOverride w:val="1"/>
    </w:lvlOverride>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C5F"/>
    <w:rsid w:val="00014895"/>
    <w:rsid w:val="00044626"/>
    <w:rsid w:val="000535B7"/>
    <w:rsid w:val="000633DC"/>
    <w:rsid w:val="000E12B6"/>
    <w:rsid w:val="000E349F"/>
    <w:rsid w:val="000F1E61"/>
    <w:rsid w:val="001150D3"/>
    <w:rsid w:val="00136F99"/>
    <w:rsid w:val="001404C9"/>
    <w:rsid w:val="001843CA"/>
    <w:rsid w:val="00190912"/>
    <w:rsid w:val="00197446"/>
    <w:rsid w:val="001F1159"/>
    <w:rsid w:val="001F35A5"/>
    <w:rsid w:val="0023296B"/>
    <w:rsid w:val="00252C5F"/>
    <w:rsid w:val="00262BFA"/>
    <w:rsid w:val="002A314F"/>
    <w:rsid w:val="002A6020"/>
    <w:rsid w:val="002A7C77"/>
    <w:rsid w:val="002E1880"/>
    <w:rsid w:val="002E4089"/>
    <w:rsid w:val="002F0870"/>
    <w:rsid w:val="00315407"/>
    <w:rsid w:val="00336129"/>
    <w:rsid w:val="00336990"/>
    <w:rsid w:val="0036230D"/>
    <w:rsid w:val="00390FC8"/>
    <w:rsid w:val="003A015B"/>
    <w:rsid w:val="003B75AD"/>
    <w:rsid w:val="003C2C97"/>
    <w:rsid w:val="003C6EE3"/>
    <w:rsid w:val="003D7A39"/>
    <w:rsid w:val="003F28F8"/>
    <w:rsid w:val="0049620A"/>
    <w:rsid w:val="004C0FEC"/>
    <w:rsid w:val="004C2ACF"/>
    <w:rsid w:val="004E79D8"/>
    <w:rsid w:val="0050426F"/>
    <w:rsid w:val="00516E71"/>
    <w:rsid w:val="00531668"/>
    <w:rsid w:val="00533500"/>
    <w:rsid w:val="00546923"/>
    <w:rsid w:val="00547411"/>
    <w:rsid w:val="005752CC"/>
    <w:rsid w:val="005961E0"/>
    <w:rsid w:val="005A3CF3"/>
    <w:rsid w:val="005E3403"/>
    <w:rsid w:val="00664B5F"/>
    <w:rsid w:val="006724B6"/>
    <w:rsid w:val="00696A7F"/>
    <w:rsid w:val="006A6DCF"/>
    <w:rsid w:val="006D5F27"/>
    <w:rsid w:val="006F0C6A"/>
    <w:rsid w:val="006F4E07"/>
    <w:rsid w:val="0072135B"/>
    <w:rsid w:val="0072726A"/>
    <w:rsid w:val="007A0373"/>
    <w:rsid w:val="007B52BA"/>
    <w:rsid w:val="007C2778"/>
    <w:rsid w:val="007C5E61"/>
    <w:rsid w:val="007C63C4"/>
    <w:rsid w:val="007E6FC7"/>
    <w:rsid w:val="007F17AF"/>
    <w:rsid w:val="007F19F1"/>
    <w:rsid w:val="00817FBD"/>
    <w:rsid w:val="00865039"/>
    <w:rsid w:val="00873E6E"/>
    <w:rsid w:val="00890D2B"/>
    <w:rsid w:val="008C10B5"/>
    <w:rsid w:val="008E5179"/>
    <w:rsid w:val="00913A17"/>
    <w:rsid w:val="00915032"/>
    <w:rsid w:val="00951870"/>
    <w:rsid w:val="00990778"/>
    <w:rsid w:val="009A5836"/>
    <w:rsid w:val="009D3A05"/>
    <w:rsid w:val="009D5171"/>
    <w:rsid w:val="009D64E1"/>
    <w:rsid w:val="009F7526"/>
    <w:rsid w:val="00A07B92"/>
    <w:rsid w:val="00A22590"/>
    <w:rsid w:val="00A23A0B"/>
    <w:rsid w:val="00A462E5"/>
    <w:rsid w:val="00A50C81"/>
    <w:rsid w:val="00A80C6F"/>
    <w:rsid w:val="00AF00FD"/>
    <w:rsid w:val="00AF121F"/>
    <w:rsid w:val="00B40771"/>
    <w:rsid w:val="00B64396"/>
    <w:rsid w:val="00B73871"/>
    <w:rsid w:val="00B73BB5"/>
    <w:rsid w:val="00B754CE"/>
    <w:rsid w:val="00BB5CBE"/>
    <w:rsid w:val="00BB6659"/>
    <w:rsid w:val="00BC6187"/>
    <w:rsid w:val="00BE1CA8"/>
    <w:rsid w:val="00BE29D7"/>
    <w:rsid w:val="00BF39E1"/>
    <w:rsid w:val="00C04082"/>
    <w:rsid w:val="00C450A4"/>
    <w:rsid w:val="00C52516"/>
    <w:rsid w:val="00C54CD6"/>
    <w:rsid w:val="00C75839"/>
    <w:rsid w:val="00C77AE3"/>
    <w:rsid w:val="00C972BC"/>
    <w:rsid w:val="00CD7A4B"/>
    <w:rsid w:val="00CE4B13"/>
    <w:rsid w:val="00D00C9C"/>
    <w:rsid w:val="00D20462"/>
    <w:rsid w:val="00D23036"/>
    <w:rsid w:val="00D27265"/>
    <w:rsid w:val="00D51B2F"/>
    <w:rsid w:val="00D642EC"/>
    <w:rsid w:val="00D67AF7"/>
    <w:rsid w:val="00D848E0"/>
    <w:rsid w:val="00DA4280"/>
    <w:rsid w:val="00DB53B0"/>
    <w:rsid w:val="00DC057A"/>
    <w:rsid w:val="00DC4AEC"/>
    <w:rsid w:val="00E01CCF"/>
    <w:rsid w:val="00E02C05"/>
    <w:rsid w:val="00E0302C"/>
    <w:rsid w:val="00E341F4"/>
    <w:rsid w:val="00E41D0A"/>
    <w:rsid w:val="00EB23C2"/>
    <w:rsid w:val="00EE457B"/>
    <w:rsid w:val="00EF2185"/>
    <w:rsid w:val="00EF7E31"/>
    <w:rsid w:val="00F06E9E"/>
    <w:rsid w:val="00F324A5"/>
    <w:rsid w:val="00F64D77"/>
    <w:rsid w:val="00F70AF9"/>
    <w:rsid w:val="00F816D5"/>
    <w:rsid w:val="00F90B54"/>
    <w:rsid w:val="00F940D9"/>
    <w:rsid w:val="00F96545"/>
    <w:rsid w:val="00FD4D63"/>
    <w:rsid w:val="00FE3F60"/>
    <w:rsid w:val="05583969"/>
    <w:rsid w:val="092B74D5"/>
    <w:rsid w:val="16976346"/>
    <w:rsid w:val="1FE04894"/>
    <w:rsid w:val="21326181"/>
    <w:rsid w:val="236B0F9D"/>
    <w:rsid w:val="2A0030AB"/>
    <w:rsid w:val="2E5C5D76"/>
    <w:rsid w:val="40275248"/>
    <w:rsid w:val="454861CA"/>
    <w:rsid w:val="4E9410B8"/>
    <w:rsid w:val="50A97CB0"/>
    <w:rsid w:val="56713955"/>
    <w:rsid w:val="60D566A5"/>
    <w:rsid w:val="676E5CB8"/>
    <w:rsid w:val="7C762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3">
    <w:name w:val="heading 1"/>
    <w:basedOn w:val="1"/>
    <w:next w:val="1"/>
    <w:link w:val="24"/>
    <w:qFormat/>
    <w:uiPriority w:val="9"/>
    <w:pPr>
      <w:keepNext/>
      <w:keepLines/>
      <w:widowControl w:val="0"/>
      <w:kinsoku/>
      <w:autoSpaceDE/>
      <w:autoSpaceDN/>
      <w:adjustRightInd/>
      <w:snapToGrid/>
      <w:spacing w:before="480" w:after="80" w:line="278" w:lineRule="auto"/>
      <w:textAlignment w:val="auto"/>
      <w:outlineLvl w:val="0"/>
    </w:pPr>
    <w:rPr>
      <w:rFonts w:asciiTheme="majorHAnsi" w:hAnsiTheme="majorHAnsi" w:eastAsiaTheme="majorEastAsia" w:cstheme="majorBidi"/>
      <w:snapToGrid/>
      <w:color w:val="104862" w:themeColor="accent1" w:themeShade="BF"/>
      <w:kern w:val="2"/>
      <w:sz w:val="48"/>
      <w:szCs w:val="48"/>
      <w:lang w:eastAsia="zh-CN"/>
      <w14:ligatures w14:val="standardContextual"/>
    </w:rPr>
  </w:style>
  <w:style w:type="paragraph" w:styleId="4">
    <w:name w:val="heading 2"/>
    <w:basedOn w:val="1"/>
    <w:next w:val="1"/>
    <w:link w:val="25"/>
    <w:semiHidden/>
    <w:unhideWhenUsed/>
    <w:qFormat/>
    <w:uiPriority w:val="9"/>
    <w:pPr>
      <w:keepNext/>
      <w:keepLines/>
      <w:widowControl w:val="0"/>
      <w:kinsoku/>
      <w:autoSpaceDE/>
      <w:autoSpaceDN/>
      <w:adjustRightInd/>
      <w:snapToGrid/>
      <w:spacing w:before="160" w:after="80" w:line="278" w:lineRule="auto"/>
      <w:textAlignment w:val="auto"/>
      <w:outlineLvl w:val="1"/>
    </w:pPr>
    <w:rPr>
      <w:rFonts w:asciiTheme="majorHAnsi" w:hAnsiTheme="majorHAnsi" w:eastAsiaTheme="majorEastAsia" w:cstheme="majorBidi"/>
      <w:snapToGrid/>
      <w:color w:val="104862" w:themeColor="accent1" w:themeShade="BF"/>
      <w:kern w:val="2"/>
      <w:sz w:val="40"/>
      <w:szCs w:val="40"/>
      <w:lang w:eastAsia="zh-CN"/>
      <w14:ligatures w14:val="standardContextual"/>
    </w:rPr>
  </w:style>
  <w:style w:type="paragraph" w:styleId="5">
    <w:name w:val="heading 3"/>
    <w:basedOn w:val="1"/>
    <w:next w:val="1"/>
    <w:link w:val="26"/>
    <w:semiHidden/>
    <w:unhideWhenUsed/>
    <w:qFormat/>
    <w:uiPriority w:val="9"/>
    <w:pPr>
      <w:keepNext/>
      <w:keepLines/>
      <w:widowControl w:val="0"/>
      <w:kinsoku/>
      <w:autoSpaceDE/>
      <w:autoSpaceDN/>
      <w:adjustRightInd/>
      <w:snapToGrid/>
      <w:spacing w:before="160" w:after="80" w:line="278" w:lineRule="auto"/>
      <w:textAlignment w:val="auto"/>
      <w:outlineLvl w:val="2"/>
    </w:pPr>
    <w:rPr>
      <w:rFonts w:asciiTheme="majorHAnsi" w:hAnsiTheme="majorHAnsi" w:eastAsiaTheme="majorEastAsia" w:cstheme="majorBidi"/>
      <w:snapToGrid/>
      <w:color w:val="104862" w:themeColor="accent1" w:themeShade="BF"/>
      <w:kern w:val="2"/>
      <w:sz w:val="32"/>
      <w:szCs w:val="32"/>
      <w:lang w:eastAsia="zh-CN"/>
      <w14:ligatures w14:val="standardContextual"/>
    </w:rPr>
  </w:style>
  <w:style w:type="paragraph" w:styleId="6">
    <w:name w:val="heading 4"/>
    <w:basedOn w:val="1"/>
    <w:next w:val="1"/>
    <w:link w:val="27"/>
    <w:semiHidden/>
    <w:unhideWhenUsed/>
    <w:qFormat/>
    <w:uiPriority w:val="9"/>
    <w:pPr>
      <w:keepNext/>
      <w:keepLines/>
      <w:widowControl w:val="0"/>
      <w:kinsoku/>
      <w:autoSpaceDE/>
      <w:autoSpaceDN/>
      <w:adjustRightInd/>
      <w:snapToGrid/>
      <w:spacing w:before="80" w:after="40" w:line="278" w:lineRule="auto"/>
      <w:textAlignment w:val="auto"/>
      <w:outlineLvl w:val="3"/>
    </w:pPr>
    <w:rPr>
      <w:rFonts w:asciiTheme="minorHAnsi" w:hAnsiTheme="minorHAnsi" w:eastAsiaTheme="minorEastAsia" w:cstheme="majorBidi"/>
      <w:snapToGrid/>
      <w:color w:val="104862" w:themeColor="accent1" w:themeShade="BF"/>
      <w:kern w:val="2"/>
      <w:sz w:val="28"/>
      <w:szCs w:val="28"/>
      <w:lang w:eastAsia="zh-CN"/>
      <w14:ligatures w14:val="standardContextual"/>
    </w:rPr>
  </w:style>
  <w:style w:type="paragraph" w:styleId="7">
    <w:name w:val="heading 5"/>
    <w:basedOn w:val="1"/>
    <w:next w:val="1"/>
    <w:link w:val="28"/>
    <w:semiHidden/>
    <w:unhideWhenUsed/>
    <w:qFormat/>
    <w:uiPriority w:val="9"/>
    <w:pPr>
      <w:keepNext/>
      <w:keepLines/>
      <w:widowControl w:val="0"/>
      <w:kinsoku/>
      <w:autoSpaceDE/>
      <w:autoSpaceDN/>
      <w:adjustRightInd/>
      <w:snapToGrid/>
      <w:spacing w:before="80" w:after="40" w:line="278" w:lineRule="auto"/>
      <w:textAlignment w:val="auto"/>
      <w:outlineLvl w:val="4"/>
    </w:pPr>
    <w:rPr>
      <w:rFonts w:asciiTheme="minorHAnsi" w:hAnsiTheme="minorHAnsi" w:eastAsiaTheme="minorEastAsia" w:cstheme="majorBidi"/>
      <w:snapToGrid/>
      <w:color w:val="104862" w:themeColor="accent1" w:themeShade="BF"/>
      <w:kern w:val="2"/>
      <w:sz w:val="24"/>
      <w:szCs w:val="24"/>
      <w:lang w:eastAsia="zh-CN"/>
      <w14:ligatures w14:val="standardContextual"/>
    </w:rPr>
  </w:style>
  <w:style w:type="paragraph" w:styleId="8">
    <w:name w:val="heading 6"/>
    <w:basedOn w:val="1"/>
    <w:next w:val="1"/>
    <w:link w:val="29"/>
    <w:semiHidden/>
    <w:unhideWhenUsed/>
    <w:qFormat/>
    <w:uiPriority w:val="9"/>
    <w:pPr>
      <w:keepNext/>
      <w:keepLines/>
      <w:widowControl w:val="0"/>
      <w:kinsoku/>
      <w:autoSpaceDE/>
      <w:autoSpaceDN/>
      <w:adjustRightInd/>
      <w:snapToGrid/>
      <w:spacing w:before="40" w:line="278" w:lineRule="auto"/>
      <w:textAlignment w:val="auto"/>
      <w:outlineLvl w:val="5"/>
    </w:pPr>
    <w:rPr>
      <w:rFonts w:asciiTheme="minorHAnsi" w:hAnsiTheme="minorHAnsi" w:eastAsiaTheme="minorEastAsia" w:cstheme="majorBidi"/>
      <w:b/>
      <w:bCs/>
      <w:snapToGrid/>
      <w:color w:val="104862" w:themeColor="accent1" w:themeShade="BF"/>
      <w:kern w:val="2"/>
      <w:sz w:val="22"/>
      <w:szCs w:val="24"/>
      <w:lang w:eastAsia="zh-CN"/>
      <w14:ligatures w14:val="standardContextual"/>
    </w:rPr>
  </w:style>
  <w:style w:type="paragraph" w:styleId="9">
    <w:name w:val="heading 7"/>
    <w:basedOn w:val="1"/>
    <w:next w:val="1"/>
    <w:link w:val="30"/>
    <w:semiHidden/>
    <w:unhideWhenUsed/>
    <w:qFormat/>
    <w:uiPriority w:val="9"/>
    <w:pPr>
      <w:keepNext/>
      <w:keepLines/>
      <w:widowControl w:val="0"/>
      <w:kinsoku/>
      <w:autoSpaceDE/>
      <w:autoSpaceDN/>
      <w:adjustRightInd/>
      <w:snapToGrid/>
      <w:spacing w:before="40" w:line="278" w:lineRule="auto"/>
      <w:textAlignment w:val="auto"/>
      <w:outlineLvl w:val="6"/>
    </w:pPr>
    <w:rPr>
      <w:rFonts w:asciiTheme="minorHAnsi" w:hAnsiTheme="minorHAnsi" w:eastAsiaTheme="minorEastAsia" w:cstheme="majorBidi"/>
      <w:b/>
      <w:bCs/>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paragraph" w:styleId="10">
    <w:name w:val="heading 8"/>
    <w:basedOn w:val="1"/>
    <w:next w:val="1"/>
    <w:link w:val="31"/>
    <w:semiHidden/>
    <w:unhideWhenUsed/>
    <w:qFormat/>
    <w:uiPriority w:val="9"/>
    <w:pPr>
      <w:keepNext/>
      <w:keepLines/>
      <w:widowControl w:val="0"/>
      <w:kinsoku/>
      <w:autoSpaceDE/>
      <w:autoSpaceDN/>
      <w:adjustRightInd/>
      <w:snapToGrid/>
      <w:spacing w:line="278" w:lineRule="auto"/>
      <w:textAlignment w:val="auto"/>
      <w:outlineLvl w:val="7"/>
    </w:pPr>
    <w:rPr>
      <w:rFonts w:asciiTheme="minorHAnsi" w:hAnsiTheme="minorHAnsi" w:eastAsiaTheme="minorEastAsia" w:cstheme="majorBidi"/>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paragraph" w:styleId="11">
    <w:name w:val="heading 9"/>
    <w:basedOn w:val="1"/>
    <w:next w:val="1"/>
    <w:link w:val="32"/>
    <w:semiHidden/>
    <w:unhideWhenUsed/>
    <w:qFormat/>
    <w:uiPriority w:val="9"/>
    <w:pPr>
      <w:keepNext/>
      <w:keepLines/>
      <w:widowControl w:val="0"/>
      <w:kinsoku/>
      <w:autoSpaceDE/>
      <w:autoSpaceDN/>
      <w:adjustRightInd/>
      <w:snapToGrid/>
      <w:spacing w:line="278" w:lineRule="auto"/>
      <w:textAlignment w:val="auto"/>
      <w:outlineLvl w:val="8"/>
    </w:pPr>
    <w:rPr>
      <w:rFonts w:asciiTheme="minorHAnsi" w:hAnsiTheme="minorHAnsi" w:eastAsiaTheme="majorEastAsia" w:cstheme="majorBidi"/>
      <w:snapToGrid/>
      <w:color w:val="595959" w:themeColor="text1" w:themeTint="A6"/>
      <w:kern w:val="2"/>
      <w:sz w:val="22"/>
      <w:szCs w:val="24"/>
      <w:lang w:eastAsia="zh-CN"/>
      <w14:textFill>
        <w14:solidFill>
          <w14:schemeClr w14:val="tx1">
            <w14:lumMod w14:val="65000"/>
            <w14:lumOff w14:val="35000"/>
          </w14:schemeClr>
        </w14:solidFill>
      </w14:textFill>
      <w14:ligatures w14:val="standardContextual"/>
    </w:rPr>
  </w:style>
  <w:style w:type="character" w:default="1" w:styleId="22">
    <w:name w:val="Default Paragraph Font"/>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2">
    <w:name w:val="macro"/>
    <w:link w:val="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Number"/>
    <w:basedOn w:val="1"/>
    <w:unhideWhenUsed/>
    <w:qFormat/>
    <w:uiPriority w:val="99"/>
    <w:pPr>
      <w:numPr>
        <w:ilvl w:val="0"/>
        <w:numId w:val="1"/>
      </w:numPr>
      <w:kinsoku/>
      <w:autoSpaceDE/>
      <w:autoSpaceDN/>
      <w:adjustRightInd/>
      <w:snapToGrid/>
      <w:spacing w:after="120" w:line="264" w:lineRule="auto"/>
      <w:ind w:firstLine="0" w:firstLineChars="0"/>
      <w:contextualSpacing/>
      <w:textAlignment w:val="auto"/>
    </w:pPr>
    <w:rPr>
      <w:rFonts w:ascii="微软雅黑" w:hAnsi="微软雅黑" w:eastAsia="微软雅黑" w:cstheme="minorBidi"/>
      <w:snapToGrid/>
      <w:color w:val="auto"/>
      <w:sz w:val="22"/>
      <w:szCs w:val="22"/>
    </w:rPr>
  </w:style>
  <w:style w:type="paragraph" w:styleId="13">
    <w:name w:val="List Bullet"/>
    <w:basedOn w:val="1"/>
    <w:unhideWhenUsed/>
    <w:qFormat/>
    <w:uiPriority w:val="99"/>
    <w:pPr>
      <w:numPr>
        <w:ilvl w:val="0"/>
        <w:numId w:val="2"/>
      </w:numPr>
      <w:tabs>
        <w:tab w:val="clear" w:pos="360"/>
      </w:tabs>
      <w:kinsoku/>
      <w:autoSpaceDE/>
      <w:autoSpaceDN/>
      <w:adjustRightInd/>
      <w:snapToGrid/>
      <w:spacing w:after="120" w:line="264" w:lineRule="auto"/>
      <w:ind w:left="0" w:firstLine="0"/>
      <w:contextualSpacing/>
      <w:textAlignment w:val="auto"/>
    </w:pPr>
    <w:rPr>
      <w:rFonts w:ascii="微软雅黑" w:hAnsi="微软雅黑" w:eastAsia="微软雅黑" w:cstheme="minorBidi"/>
      <w:snapToGrid/>
      <w:color w:val="auto"/>
      <w:sz w:val="22"/>
      <w:szCs w:val="22"/>
    </w:rPr>
  </w:style>
  <w:style w:type="paragraph" w:styleId="14">
    <w:name w:val="Body Text"/>
    <w:basedOn w:val="1"/>
    <w:link w:val="42"/>
    <w:semiHidden/>
    <w:qFormat/>
    <w:uiPriority w:val="0"/>
    <w:rPr>
      <w:rFonts w:ascii="方正仿宋_GBK" w:hAnsi="方正仿宋_GBK" w:eastAsia="方正仿宋_GBK" w:cs="方正仿宋_GBK"/>
      <w:sz w:val="24"/>
      <w:szCs w:val="24"/>
    </w:rPr>
  </w:style>
  <w:style w:type="paragraph" w:styleId="15">
    <w:name w:val="Plain Text"/>
    <w:basedOn w:val="1"/>
    <w:link w:val="43"/>
    <w:unhideWhenUsed/>
    <w:qFormat/>
    <w:uiPriority w:val="99"/>
    <w:pPr>
      <w:widowControl w:val="0"/>
      <w:kinsoku/>
      <w:autoSpaceDE/>
      <w:autoSpaceDN/>
      <w:adjustRightInd/>
      <w:snapToGrid/>
      <w:spacing w:after="160" w:line="278" w:lineRule="auto"/>
      <w:textAlignment w:val="auto"/>
    </w:pPr>
    <w:rPr>
      <w:rFonts w:hAnsi="Courier New" w:cs="Courier New" w:asciiTheme="minorEastAsia" w:eastAsiaTheme="minorEastAsia"/>
      <w:snapToGrid/>
      <w:color w:val="auto"/>
      <w:kern w:val="2"/>
      <w:sz w:val="22"/>
      <w:szCs w:val="24"/>
      <w:lang w:eastAsia="zh-CN"/>
      <w14:ligatures w14:val="standardContextual"/>
    </w:rPr>
  </w:style>
  <w:style w:type="paragraph" w:styleId="16">
    <w:name w:val="footer"/>
    <w:basedOn w:val="1"/>
    <w:link w:val="45"/>
    <w:unhideWhenUsed/>
    <w:qFormat/>
    <w:uiPriority w:val="99"/>
    <w:pPr>
      <w:tabs>
        <w:tab w:val="center" w:pos="4153"/>
        <w:tab w:val="right" w:pos="8306"/>
      </w:tabs>
    </w:pPr>
    <w:rPr>
      <w:sz w:val="18"/>
      <w:szCs w:val="18"/>
    </w:rPr>
  </w:style>
  <w:style w:type="paragraph" w:styleId="17">
    <w:name w:val="header"/>
    <w:basedOn w:val="1"/>
    <w:link w:val="44"/>
    <w:unhideWhenUsed/>
    <w:qFormat/>
    <w:uiPriority w:val="99"/>
    <w:pPr>
      <w:tabs>
        <w:tab w:val="center" w:pos="4153"/>
        <w:tab w:val="right" w:pos="8306"/>
      </w:tabs>
      <w:jc w:val="center"/>
    </w:pPr>
    <w:rPr>
      <w:sz w:val="18"/>
      <w:szCs w:val="18"/>
    </w:rPr>
  </w:style>
  <w:style w:type="paragraph" w:styleId="18">
    <w:name w:val="Subtitle"/>
    <w:basedOn w:val="1"/>
    <w:next w:val="1"/>
    <w:link w:val="34"/>
    <w:qFormat/>
    <w:uiPriority w:val="11"/>
    <w:pPr>
      <w:widowControl w:val="0"/>
      <w:kinsoku/>
      <w:autoSpaceDE/>
      <w:autoSpaceDN/>
      <w:adjustRightInd/>
      <w:snapToGrid/>
      <w:spacing w:after="160" w:line="278" w:lineRule="auto"/>
      <w:jc w:val="center"/>
      <w:textAlignment w:val="auto"/>
    </w:pPr>
    <w:rPr>
      <w:rFonts w:asciiTheme="majorHAnsi" w:hAnsiTheme="majorHAnsi" w:eastAsiaTheme="majorEastAsia" w:cstheme="majorBidi"/>
      <w:snapToGrid/>
      <w:color w:val="595959" w:themeColor="text1" w:themeTint="A6"/>
      <w:spacing w:val="15"/>
      <w:kern w:val="2"/>
      <w:sz w:val="28"/>
      <w:szCs w:val="28"/>
      <w:lang w:eastAsia="zh-CN"/>
      <w14:textFill>
        <w14:solidFill>
          <w14:schemeClr w14:val="tx1">
            <w14:lumMod w14:val="65000"/>
            <w14:lumOff w14:val="35000"/>
          </w14:schemeClr>
        </w14:solidFill>
      </w14:textFill>
      <w14:ligatures w14:val="standardContextual"/>
    </w:rPr>
  </w:style>
  <w:style w:type="paragraph" w:styleId="19">
    <w:name w:val="Normal (Web)"/>
    <w:basedOn w:val="1"/>
    <w:semiHidden/>
    <w:unhideWhenUsed/>
    <w:qFormat/>
    <w:uiPriority w:val="99"/>
    <w:pPr>
      <w:spacing w:beforeAutospacing="1" w:afterAutospacing="1"/>
    </w:pPr>
    <w:rPr>
      <w:rFonts w:cs="Times New Roman"/>
      <w:sz w:val="24"/>
      <w:lang w:eastAsia="zh-CN"/>
    </w:rPr>
  </w:style>
  <w:style w:type="paragraph" w:styleId="20">
    <w:name w:val="Title"/>
    <w:basedOn w:val="1"/>
    <w:next w:val="1"/>
    <w:link w:val="33"/>
    <w:qFormat/>
    <w:uiPriority w:val="10"/>
    <w:pPr>
      <w:widowControl w:val="0"/>
      <w:kinsoku/>
      <w:autoSpaceDE/>
      <w:autoSpaceDN/>
      <w:adjustRightInd/>
      <w:snapToGrid/>
      <w:spacing w:after="80"/>
      <w:contextualSpacing/>
      <w:jc w:val="center"/>
      <w:textAlignment w:val="auto"/>
    </w:pPr>
    <w:rPr>
      <w:rFonts w:asciiTheme="majorHAnsi" w:hAnsiTheme="majorHAnsi" w:eastAsiaTheme="majorEastAsia" w:cstheme="majorBidi"/>
      <w:snapToGrid/>
      <w:color w:val="auto"/>
      <w:spacing w:val="-10"/>
      <w:kern w:val="28"/>
      <w:sz w:val="56"/>
      <w:szCs w:val="56"/>
      <w:lang w:eastAsia="zh-CN"/>
      <w14:ligatures w14:val="standardContextual"/>
    </w:rPr>
  </w:style>
  <w:style w:type="character" w:styleId="23">
    <w:name w:val="Hyperlink"/>
    <w:basedOn w:val="22"/>
    <w:semiHidden/>
    <w:unhideWhenUsed/>
    <w:qFormat/>
    <w:uiPriority w:val="99"/>
    <w:rPr>
      <w:color w:val="0000FF"/>
      <w:u w:val="single"/>
    </w:rPr>
  </w:style>
  <w:style w:type="character" w:customStyle="1" w:styleId="24">
    <w:name w:val="标题 1 字符"/>
    <w:basedOn w:val="22"/>
    <w:link w:val="3"/>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2"/>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2"/>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2"/>
    <w:link w:val="6"/>
    <w:semiHidden/>
    <w:qFormat/>
    <w:uiPriority w:val="9"/>
    <w:rPr>
      <w:rFonts w:cstheme="majorBidi"/>
      <w:color w:val="104862" w:themeColor="accent1" w:themeShade="BF"/>
      <w:sz w:val="28"/>
      <w:szCs w:val="28"/>
    </w:rPr>
  </w:style>
  <w:style w:type="character" w:customStyle="1" w:styleId="28">
    <w:name w:val="标题 5 字符"/>
    <w:basedOn w:val="22"/>
    <w:link w:val="7"/>
    <w:semiHidden/>
    <w:qFormat/>
    <w:uiPriority w:val="9"/>
    <w:rPr>
      <w:rFonts w:cstheme="majorBidi"/>
      <w:color w:val="104862" w:themeColor="accent1" w:themeShade="BF"/>
      <w:sz w:val="24"/>
    </w:rPr>
  </w:style>
  <w:style w:type="character" w:customStyle="1" w:styleId="29">
    <w:name w:val="标题 6 字符"/>
    <w:basedOn w:val="22"/>
    <w:link w:val="8"/>
    <w:semiHidden/>
    <w:qFormat/>
    <w:uiPriority w:val="9"/>
    <w:rPr>
      <w:rFonts w:cstheme="majorBidi"/>
      <w:b/>
      <w:bCs/>
      <w:color w:val="104862" w:themeColor="accent1" w:themeShade="BF"/>
    </w:rPr>
  </w:style>
  <w:style w:type="character" w:customStyle="1" w:styleId="30">
    <w:name w:val="标题 7 字符"/>
    <w:basedOn w:val="22"/>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20"/>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widowControl w:val="0"/>
      <w:kinsoku/>
      <w:autoSpaceDE/>
      <w:autoSpaceDN/>
      <w:adjustRightInd/>
      <w:snapToGrid/>
      <w:spacing w:before="160" w:after="160" w:line="278" w:lineRule="auto"/>
      <w:jc w:val="center"/>
      <w:textAlignment w:val="auto"/>
    </w:pPr>
    <w:rPr>
      <w:rFonts w:asciiTheme="minorHAnsi" w:hAnsiTheme="minorHAnsi" w:eastAsiaTheme="minorEastAsia" w:cstheme="minorBidi"/>
      <w:i/>
      <w:iCs/>
      <w:snapToGrid/>
      <w:color w:val="404040" w:themeColor="text1" w:themeTint="BF"/>
      <w:kern w:val="2"/>
      <w:sz w:val="22"/>
      <w:szCs w:val="24"/>
      <w:lang w:eastAsia="zh-CN"/>
      <w14:textFill>
        <w14:solidFill>
          <w14:schemeClr w14:val="tx1">
            <w14:lumMod w14:val="75000"/>
            <w14:lumOff w14:val="25000"/>
          </w14:schemeClr>
        </w14:solidFill>
      </w14:textFill>
      <w14:ligatures w14:val="standardContextual"/>
    </w:rPr>
  </w:style>
  <w:style w:type="character" w:customStyle="1" w:styleId="36">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widowControl w:val="0"/>
      <w:kinsoku/>
      <w:autoSpaceDE/>
      <w:autoSpaceDN/>
      <w:adjustRightInd/>
      <w:snapToGrid/>
      <w:spacing w:after="160" w:line="278" w:lineRule="auto"/>
      <w:ind w:left="720"/>
      <w:contextualSpacing/>
      <w:textAlignment w:val="auto"/>
    </w:pPr>
    <w:rPr>
      <w:rFonts w:asciiTheme="minorHAnsi" w:hAnsiTheme="minorHAnsi" w:eastAsiaTheme="minorEastAsia" w:cstheme="minorBidi"/>
      <w:snapToGrid/>
      <w:color w:val="auto"/>
      <w:kern w:val="2"/>
      <w:sz w:val="22"/>
      <w:szCs w:val="24"/>
      <w:lang w:eastAsia="zh-CN"/>
      <w14:ligatures w14:val="standardContextual"/>
    </w:rPr>
  </w:style>
  <w:style w:type="character" w:customStyle="1" w:styleId="38">
    <w:name w:val="明显强调1"/>
    <w:basedOn w:val="22"/>
    <w:qFormat/>
    <w:uiPriority w:val="21"/>
    <w:rPr>
      <w:i/>
      <w:iCs/>
      <w:color w:val="104862" w:themeColor="accent1" w:themeShade="BF"/>
    </w:rPr>
  </w:style>
  <w:style w:type="paragraph" w:styleId="39">
    <w:name w:val="Intense Quote"/>
    <w:basedOn w:val="1"/>
    <w:next w:val="1"/>
    <w:link w:val="40"/>
    <w:qFormat/>
    <w:uiPriority w:val="30"/>
    <w:pPr>
      <w:widowControl w:val="0"/>
      <w:pBdr>
        <w:top w:val="single" w:color="0F4761" w:themeColor="accent1" w:themeShade="BF" w:sz="4" w:space="10"/>
        <w:bottom w:val="single" w:color="0F4761" w:themeColor="accent1" w:themeShade="BF" w:sz="4" w:space="10"/>
      </w:pBdr>
      <w:kinsoku/>
      <w:autoSpaceDE/>
      <w:autoSpaceDN/>
      <w:adjustRightInd/>
      <w:snapToGrid/>
      <w:spacing w:before="360" w:after="360" w:line="278" w:lineRule="auto"/>
      <w:ind w:left="864" w:right="864"/>
      <w:jc w:val="center"/>
      <w:textAlignment w:val="auto"/>
    </w:pPr>
    <w:rPr>
      <w:rFonts w:asciiTheme="minorHAnsi" w:hAnsiTheme="minorHAnsi" w:eastAsiaTheme="minorEastAsia" w:cstheme="minorBidi"/>
      <w:i/>
      <w:iCs/>
      <w:snapToGrid/>
      <w:color w:val="104862" w:themeColor="accent1" w:themeShade="BF"/>
      <w:kern w:val="2"/>
      <w:sz w:val="22"/>
      <w:szCs w:val="24"/>
      <w:lang w:eastAsia="zh-CN"/>
      <w14:ligatures w14:val="standardContextual"/>
    </w:rPr>
  </w:style>
  <w:style w:type="character" w:customStyle="1" w:styleId="40">
    <w:name w:val="明显引用 字符"/>
    <w:basedOn w:val="22"/>
    <w:link w:val="39"/>
    <w:qFormat/>
    <w:uiPriority w:val="30"/>
    <w:rPr>
      <w:i/>
      <w:iCs/>
      <w:color w:val="104862" w:themeColor="accent1" w:themeShade="BF"/>
    </w:rPr>
  </w:style>
  <w:style w:type="character" w:customStyle="1" w:styleId="41">
    <w:name w:val="明显参考1"/>
    <w:basedOn w:val="22"/>
    <w:qFormat/>
    <w:uiPriority w:val="32"/>
    <w:rPr>
      <w:b/>
      <w:bCs/>
      <w:smallCaps/>
      <w:color w:val="104862" w:themeColor="accent1" w:themeShade="BF"/>
      <w:spacing w:val="5"/>
    </w:rPr>
  </w:style>
  <w:style w:type="character" w:customStyle="1" w:styleId="42">
    <w:name w:val="正文文本 字符"/>
    <w:basedOn w:val="22"/>
    <w:link w:val="14"/>
    <w:semiHidden/>
    <w:qFormat/>
    <w:uiPriority w:val="0"/>
    <w:rPr>
      <w:rFonts w:ascii="方正仿宋_GBK" w:hAnsi="方正仿宋_GBK" w:eastAsia="方正仿宋_GBK" w:cs="方正仿宋_GBK"/>
      <w:snapToGrid w:val="0"/>
      <w:color w:val="000000"/>
      <w:kern w:val="0"/>
      <w:sz w:val="24"/>
      <w:lang w:eastAsia="en-US"/>
      <w14:ligatures w14:val="none"/>
    </w:rPr>
  </w:style>
  <w:style w:type="character" w:customStyle="1" w:styleId="43">
    <w:name w:val="纯文本 字符"/>
    <w:basedOn w:val="22"/>
    <w:link w:val="15"/>
    <w:qFormat/>
    <w:uiPriority w:val="99"/>
    <w:rPr>
      <w:rFonts w:hAnsi="Courier New" w:cs="Courier New" w:asciiTheme="minorEastAsia"/>
    </w:rPr>
  </w:style>
  <w:style w:type="character" w:customStyle="1" w:styleId="44">
    <w:name w:val="页眉 字符"/>
    <w:basedOn w:val="22"/>
    <w:link w:val="17"/>
    <w:qFormat/>
    <w:uiPriority w:val="99"/>
    <w:rPr>
      <w:rFonts w:ascii="Arial" w:hAnsi="Arial" w:eastAsia="Arial" w:cs="Arial"/>
      <w:snapToGrid w:val="0"/>
      <w:color w:val="000000"/>
      <w:kern w:val="0"/>
      <w:sz w:val="18"/>
      <w:szCs w:val="18"/>
      <w:lang w:eastAsia="en-US"/>
      <w14:ligatures w14:val="none"/>
    </w:rPr>
  </w:style>
  <w:style w:type="character" w:customStyle="1" w:styleId="45">
    <w:name w:val="页脚 字符"/>
    <w:basedOn w:val="22"/>
    <w:link w:val="16"/>
    <w:qFormat/>
    <w:uiPriority w:val="99"/>
    <w:rPr>
      <w:rFonts w:ascii="Arial" w:hAnsi="Arial" w:eastAsia="Arial" w:cs="Arial"/>
      <w:snapToGrid w:val="0"/>
      <w:color w:val="000000"/>
      <w:kern w:val="0"/>
      <w:sz w:val="18"/>
      <w:szCs w:val="18"/>
      <w:lang w:eastAsia="en-US"/>
      <w14:ligatures w14:val="none"/>
    </w:rPr>
  </w:style>
  <w:style w:type="paragraph" w:customStyle="1" w:styleId="46">
    <w:name w:val="Rule Formula"/>
    <w:basedOn w:val="1"/>
    <w:qFormat/>
    <w:uiPriority w:val="0"/>
    <w:pPr>
      <w:kinsoku/>
      <w:autoSpaceDE/>
      <w:autoSpaceDN/>
      <w:adjustRightInd/>
      <w:snapToGrid/>
      <w:spacing w:before="80" w:after="160" w:line="264" w:lineRule="auto"/>
      <w:ind w:left="360" w:right="360"/>
      <w:textAlignment w:val="auto"/>
    </w:pPr>
    <w:rPr>
      <w:rFonts w:ascii="微软雅黑" w:hAnsi="微软雅黑" w:eastAsia="微软雅黑" w:cstheme="minorBidi"/>
      <w:b/>
      <w:snapToGrid/>
      <w:color w:val="1F4D78"/>
      <w:szCs w:val="22"/>
    </w:rPr>
  </w:style>
  <w:style w:type="character" w:customStyle="1" w:styleId="47">
    <w:name w:val="宏文本 字符"/>
    <w:basedOn w:val="22"/>
    <w:link w:val="2"/>
    <w:qFormat/>
    <w:uiPriority w:val="99"/>
    <w:rPr>
      <w:rFonts w:ascii="Courier" w:hAnsi="Courier" w:eastAsiaTheme="minorEastAsia" w:cstheme="minorBidi"/>
      <w:lang w:eastAsia="en-US"/>
    </w:rPr>
  </w:style>
  <w:style w:type="character" w:styleId="48">
    <w:name w:val="Placeholder Text"/>
    <w:basedOn w:val="22"/>
    <w:unhideWhenUsed/>
    <w:qFormat/>
    <w:uiPriority w:val="99"/>
    <w:rPr>
      <w:color w:val="66666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3441</Words>
  <Characters>4248</Characters>
  <Lines>97</Lines>
  <Paragraphs>87</Paragraphs>
  <TotalTime>22</TotalTime>
  <ScaleCrop>false</ScaleCrop>
  <LinksUpToDate>false</LinksUpToDate>
  <CharactersWithSpaces>4481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2026-09-14T06:27:00Z</dcterms:created>
  <dc:creator>JINGYI MA</dc:creator>
  <cp:lastModifiedBy>凯风自南</cp:lastModifiedBy>
  <dcterms:modified xsi:type="dcterms:W3CDTF">2026-09-15T09:07:00Z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eyJoZGlkIjoiZjU1Nzc5YzY5MTJiODk2NjcxMGI1NzIxZWU0Nzg4MDMiLCJ1c2VySWQiOiIxMTIyNzM0MTk3In0=</vt:lpwstr>
  </property>
  <property fmtid="{D5CDD505-2E9C-101B-9397-08002B2CF9AE}" pid="3" name="KSOProductBuildVer">
    <vt:lpwstr>2052-12.1.0.28043</vt:lpwstr>
  </property>
  <property fmtid="{D5CDD505-2E9C-101B-9397-08002B2CF9AE}" pid="4" name="ICV">
    <vt:lpwstr>DCB21620F1974ACD8159433F0DBA8B56_12</vt:lpwstr>
  </property>
</Properties>
</file>