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8D55D" w14:textId="1F408648" w:rsidR="68825FB6" w:rsidRDefault="68825FB6" w:rsidP="68825FB6">
      <w:pPr>
        <w:jc w:val="center"/>
        <w:rPr>
          <w:b/>
          <w:bCs/>
        </w:rPr>
      </w:pPr>
    </w:p>
    <w:p w14:paraId="0025E041" w14:textId="7D2FA4D0" w:rsidR="68825FB6" w:rsidRDefault="68825FB6" w:rsidP="68825FB6">
      <w:pPr>
        <w:jc w:val="center"/>
        <w:rPr>
          <w:b/>
          <w:bCs/>
        </w:rPr>
      </w:pPr>
    </w:p>
    <w:p w14:paraId="61D7D9FD" w14:textId="0A6118BE" w:rsidR="68825FB6" w:rsidRDefault="68825FB6" w:rsidP="68825FB6">
      <w:pPr>
        <w:jc w:val="center"/>
        <w:rPr>
          <w:b/>
          <w:bCs/>
        </w:rPr>
      </w:pPr>
    </w:p>
    <w:p w14:paraId="6BB68A77" w14:textId="207FFE55" w:rsidR="68825FB6" w:rsidRDefault="68825FB6" w:rsidP="68825FB6">
      <w:pPr>
        <w:jc w:val="center"/>
        <w:rPr>
          <w:b/>
          <w:bCs/>
        </w:rPr>
      </w:pPr>
    </w:p>
    <w:p w14:paraId="6BB42D8B" w14:textId="1A12C93D" w:rsidR="68825FB6" w:rsidRDefault="68825FB6" w:rsidP="68825FB6">
      <w:pPr>
        <w:jc w:val="center"/>
        <w:rPr>
          <w:b/>
          <w:bCs/>
        </w:rPr>
      </w:pPr>
    </w:p>
    <w:p w14:paraId="2E60A4B5" w14:textId="5DA70E3B" w:rsidR="68825FB6" w:rsidRDefault="68825FB6" w:rsidP="68825FB6">
      <w:pPr>
        <w:jc w:val="center"/>
        <w:rPr>
          <w:b/>
          <w:bCs/>
        </w:rPr>
      </w:pPr>
    </w:p>
    <w:p w14:paraId="3E38A427" w14:textId="332461BC" w:rsidR="68825FB6" w:rsidRDefault="68825FB6" w:rsidP="68825FB6">
      <w:pPr>
        <w:jc w:val="center"/>
        <w:rPr>
          <w:b/>
          <w:bCs/>
        </w:rPr>
      </w:pPr>
    </w:p>
    <w:p w14:paraId="6D0F51EF" w14:textId="694A2134" w:rsidR="68825FB6" w:rsidRDefault="68825FB6" w:rsidP="68825FB6">
      <w:pPr>
        <w:jc w:val="center"/>
        <w:rPr>
          <w:b/>
          <w:bCs/>
        </w:rPr>
      </w:pPr>
    </w:p>
    <w:p w14:paraId="3D693AD7" w14:textId="48FFE3E2" w:rsidR="7E745704" w:rsidRDefault="7E745704" w:rsidP="68825FB6">
      <w:pPr>
        <w:spacing w:line="480" w:lineRule="auto"/>
        <w:jc w:val="center"/>
        <w:rPr>
          <w:b/>
          <w:bCs/>
        </w:rPr>
      </w:pPr>
      <w:r w:rsidRPr="68825FB6">
        <w:rPr>
          <w:b/>
          <w:bCs/>
        </w:rPr>
        <w:t>What are the Leading Causes of Death in the United States?</w:t>
      </w:r>
    </w:p>
    <w:p w14:paraId="0DE7B0F5" w14:textId="1BA053FA" w:rsidR="68825FB6" w:rsidRDefault="68825FB6" w:rsidP="68825FB6">
      <w:pPr>
        <w:spacing w:line="480" w:lineRule="auto"/>
        <w:jc w:val="center"/>
      </w:pPr>
    </w:p>
    <w:p w14:paraId="386F744F" w14:textId="1FFC42A3" w:rsidR="7E745704" w:rsidRDefault="7E745704" w:rsidP="68825FB6">
      <w:pPr>
        <w:spacing w:line="480" w:lineRule="auto"/>
        <w:jc w:val="center"/>
      </w:pPr>
      <w:r>
        <w:t>Wiley Winters</w:t>
      </w:r>
    </w:p>
    <w:p w14:paraId="4876D56D" w14:textId="7DA001BA" w:rsidR="7E745704" w:rsidRDefault="7E745704" w:rsidP="68825FB6">
      <w:pPr>
        <w:spacing w:line="480" w:lineRule="auto"/>
        <w:jc w:val="center"/>
      </w:pPr>
      <w:r>
        <w:t>Regis University Anderson College of Business and Computing</w:t>
      </w:r>
    </w:p>
    <w:p w14:paraId="177C42FB" w14:textId="02515750" w:rsidR="7E745704" w:rsidRDefault="7E745704" w:rsidP="68825FB6">
      <w:pPr>
        <w:spacing w:line="480" w:lineRule="auto"/>
        <w:jc w:val="center"/>
      </w:pPr>
      <w:r>
        <w:t>MSDS 670 Data Visualization</w:t>
      </w:r>
    </w:p>
    <w:p w14:paraId="7D8023C9" w14:textId="465C6872" w:rsidR="7E745704" w:rsidRDefault="7E745704" w:rsidP="68825FB6">
      <w:pPr>
        <w:spacing w:line="480" w:lineRule="auto"/>
        <w:jc w:val="center"/>
      </w:pPr>
      <w:r>
        <w:t>Mr. John Koenig</w:t>
      </w:r>
    </w:p>
    <w:p w14:paraId="46AFC811" w14:textId="1581B08C" w:rsidR="7E745704" w:rsidRDefault="7E745704" w:rsidP="68825FB6">
      <w:pPr>
        <w:spacing w:line="480" w:lineRule="auto"/>
        <w:jc w:val="center"/>
      </w:pPr>
      <w:r>
        <w:t>March 10, 2024</w:t>
      </w:r>
    </w:p>
    <w:p w14:paraId="242DF59D" w14:textId="416F31D9" w:rsidR="68825FB6" w:rsidRDefault="68825FB6">
      <w:r>
        <w:br w:type="page"/>
      </w:r>
    </w:p>
    <w:p w14:paraId="335D6CA3" w14:textId="4AFB98AE" w:rsidR="33A2E32F" w:rsidRPr="000F413E" w:rsidRDefault="33A2E32F" w:rsidP="68825FB6">
      <w:pPr>
        <w:spacing w:line="480" w:lineRule="auto"/>
        <w:jc w:val="center"/>
        <w:rPr>
          <w:b/>
          <w:bCs/>
        </w:rPr>
      </w:pPr>
      <w:r w:rsidRPr="000F413E">
        <w:rPr>
          <w:rFonts w:ascii="Times New Roman" w:eastAsia="Times New Roman" w:hAnsi="Times New Roman" w:cs="Times New Roman"/>
          <w:b/>
          <w:bCs/>
          <w:sz w:val="24"/>
          <w:szCs w:val="24"/>
        </w:rPr>
        <w:lastRenderedPageBreak/>
        <w:t>Abstract</w:t>
      </w:r>
    </w:p>
    <w:p w14:paraId="346254CA" w14:textId="01226F1B" w:rsidR="33A2E32F" w:rsidRDefault="33A2E32F" w:rsidP="68825FB6">
      <w:pPr>
        <w:spacing w:line="480" w:lineRule="auto"/>
        <w:rPr>
          <w:rFonts w:ascii="Times New Roman" w:eastAsia="Times New Roman" w:hAnsi="Times New Roman" w:cs="Times New Roman"/>
          <w:sz w:val="24"/>
          <w:szCs w:val="24"/>
        </w:rPr>
      </w:pPr>
      <w:r w:rsidRPr="68825FB6">
        <w:rPr>
          <w:rFonts w:ascii="Times New Roman" w:eastAsia="Times New Roman" w:hAnsi="Times New Roman" w:cs="Times New Roman"/>
          <w:sz w:val="24"/>
          <w:szCs w:val="24"/>
        </w:rPr>
        <w:t xml:space="preserve">This paper describes research on the leading causes of death in the United States from </w:t>
      </w:r>
      <w:r w:rsidR="000F413E">
        <w:rPr>
          <w:rFonts w:ascii="Times New Roman" w:eastAsia="Times New Roman" w:hAnsi="Times New Roman" w:cs="Times New Roman"/>
          <w:sz w:val="24"/>
          <w:szCs w:val="24"/>
        </w:rPr>
        <w:t>2000</w:t>
      </w:r>
      <w:r w:rsidRPr="68825FB6">
        <w:rPr>
          <w:rFonts w:ascii="Times New Roman" w:eastAsia="Times New Roman" w:hAnsi="Times New Roman" w:cs="Times New Roman"/>
          <w:sz w:val="24"/>
          <w:szCs w:val="24"/>
        </w:rPr>
        <w:t xml:space="preserve"> to 2017.  T</w:t>
      </w:r>
      <w:r w:rsidR="0969C11D" w:rsidRPr="68825FB6">
        <w:rPr>
          <w:rFonts w:ascii="Times New Roman" w:eastAsia="Times New Roman" w:hAnsi="Times New Roman" w:cs="Times New Roman"/>
          <w:sz w:val="24"/>
          <w:szCs w:val="24"/>
        </w:rPr>
        <w:t xml:space="preserve">he data was downloaded from </w:t>
      </w:r>
      <w:r w:rsidR="5B16871D" w:rsidRPr="68825FB6">
        <w:rPr>
          <w:rFonts w:ascii="Times New Roman" w:eastAsia="Times New Roman" w:hAnsi="Times New Roman" w:cs="Times New Roman"/>
          <w:sz w:val="24"/>
          <w:szCs w:val="24"/>
        </w:rPr>
        <w:t>the U.S. Department of Health and Human Services and was published by the Centers for Disease Control and Prevention.</w:t>
      </w:r>
      <w:r w:rsidR="000F413E">
        <w:rPr>
          <w:rFonts w:ascii="Times New Roman" w:eastAsia="Times New Roman" w:hAnsi="Times New Roman" w:cs="Times New Roman"/>
          <w:sz w:val="24"/>
          <w:szCs w:val="24"/>
        </w:rPr>
        <w:t xml:space="preserve">  The scope of this research is to identify the top causes of death and not the underlying social, economic, or behavior factors that may contribute to the death rates.</w:t>
      </w:r>
    </w:p>
    <w:p w14:paraId="0CE5334F" w14:textId="4FEE18B4" w:rsidR="000F413E" w:rsidRDefault="000F413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2CCA5F2" w14:textId="77777777" w:rsidR="000F413E" w:rsidRDefault="000F413E" w:rsidP="000F413E">
      <w:pPr>
        <w:spacing w:line="480" w:lineRule="auto"/>
        <w:jc w:val="center"/>
        <w:rPr>
          <w:b/>
          <w:bCs/>
        </w:rPr>
      </w:pPr>
      <w:r w:rsidRPr="68825FB6">
        <w:rPr>
          <w:b/>
          <w:bCs/>
        </w:rPr>
        <w:lastRenderedPageBreak/>
        <w:t>What are the Leading Causes of Death in the United States?</w:t>
      </w:r>
    </w:p>
    <w:p w14:paraId="7C36A005" w14:textId="7920B799" w:rsidR="000F413E" w:rsidRPr="00A84C47" w:rsidRDefault="000F413E" w:rsidP="68825FB6">
      <w:pPr>
        <w:spacing w:line="480" w:lineRule="auto"/>
        <w:rPr>
          <w:rFonts w:ascii="Times New Roman" w:eastAsia="Times New Roman" w:hAnsi="Times New Roman" w:cs="Times New Roman"/>
          <w:b/>
          <w:bCs/>
          <w:sz w:val="24"/>
          <w:szCs w:val="24"/>
        </w:rPr>
      </w:pPr>
      <w:r w:rsidRPr="00A84C47">
        <w:rPr>
          <w:rFonts w:ascii="Times New Roman" w:eastAsia="Times New Roman" w:hAnsi="Times New Roman" w:cs="Times New Roman"/>
          <w:b/>
          <w:bCs/>
          <w:sz w:val="24"/>
          <w:szCs w:val="24"/>
        </w:rPr>
        <w:t>Research Question</w:t>
      </w:r>
    </w:p>
    <w:p w14:paraId="13E67EBD" w14:textId="30171EF3" w:rsidR="000F413E" w:rsidRDefault="000F413E" w:rsidP="68825F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925EB">
        <w:rPr>
          <w:rFonts w:ascii="Times New Roman" w:eastAsia="Times New Roman" w:hAnsi="Times New Roman" w:cs="Times New Roman"/>
          <w:sz w:val="24"/>
          <w:szCs w:val="24"/>
        </w:rPr>
        <w:t>During the 2020 pandemic</w:t>
      </w:r>
      <w:r w:rsidR="00A84C47">
        <w:rPr>
          <w:rFonts w:ascii="Times New Roman" w:eastAsia="Times New Roman" w:hAnsi="Times New Roman" w:cs="Times New Roman"/>
          <w:sz w:val="24"/>
          <w:szCs w:val="24"/>
        </w:rPr>
        <w:t>,</w:t>
      </w:r>
      <w:r w:rsidR="002925EB">
        <w:rPr>
          <w:rFonts w:ascii="Times New Roman" w:eastAsia="Times New Roman" w:hAnsi="Times New Roman" w:cs="Times New Roman"/>
          <w:sz w:val="24"/>
          <w:szCs w:val="24"/>
        </w:rPr>
        <w:t xml:space="preserve"> COVID-19 bec</w:t>
      </w:r>
      <w:r w:rsidR="00A84C47">
        <w:rPr>
          <w:rFonts w:ascii="Times New Roman" w:eastAsia="Times New Roman" w:hAnsi="Times New Roman" w:cs="Times New Roman"/>
          <w:sz w:val="24"/>
          <w:szCs w:val="24"/>
        </w:rPr>
        <w:t>a</w:t>
      </w:r>
      <w:r w:rsidR="002925EB">
        <w:rPr>
          <w:rFonts w:ascii="Times New Roman" w:eastAsia="Times New Roman" w:hAnsi="Times New Roman" w:cs="Times New Roman"/>
          <w:sz w:val="24"/>
          <w:szCs w:val="24"/>
        </w:rPr>
        <w:t xml:space="preserve">me the third leading cause of death in the United States.  The final overall death rate rose from 715 deaths per 100,000 in 2019 to 835 per 100,000 in 2020 </w:t>
      </w:r>
      <w:r w:rsidR="00A84C47">
        <w:rPr>
          <w:rFonts w:ascii="Times New Roman" w:eastAsia="Times New Roman" w:hAnsi="Times New Roman" w:cs="Times New Roman"/>
          <w:sz w:val="24"/>
          <w:szCs w:val="24"/>
        </w:rPr>
        <w:t xml:space="preserve">due to Covid </w:t>
      </w:r>
      <w:r w:rsidR="002925EB">
        <w:rPr>
          <w:rFonts w:ascii="Times New Roman" w:eastAsia="Times New Roman" w:hAnsi="Times New Roman" w:cs="Times New Roman"/>
          <w:sz w:val="24"/>
          <w:szCs w:val="24"/>
        </w:rPr>
        <w:t>(CDC, 2022)</w:t>
      </w:r>
      <w:r w:rsidR="00A84C47">
        <w:rPr>
          <w:rFonts w:ascii="Times New Roman" w:eastAsia="Times New Roman" w:hAnsi="Times New Roman" w:cs="Times New Roman"/>
          <w:sz w:val="24"/>
          <w:szCs w:val="24"/>
        </w:rPr>
        <w:t>.  While COVID-19 caused a lot of deaths, it still did not become the number one or two cause of death in the United States.  The research conducted for this paper will answer the question: “What are the leading causes of death in the United States?”</w:t>
      </w:r>
    </w:p>
    <w:p w14:paraId="7D67C017" w14:textId="64D8F825" w:rsidR="00A84C47" w:rsidRPr="00A84C47" w:rsidRDefault="00A84C47" w:rsidP="68825FB6">
      <w:pPr>
        <w:spacing w:line="480" w:lineRule="auto"/>
        <w:rPr>
          <w:rFonts w:ascii="Times New Roman" w:eastAsia="Times New Roman" w:hAnsi="Times New Roman" w:cs="Times New Roman"/>
          <w:b/>
          <w:bCs/>
          <w:sz w:val="24"/>
          <w:szCs w:val="24"/>
        </w:rPr>
      </w:pPr>
      <w:r w:rsidRPr="00A84C47">
        <w:rPr>
          <w:rFonts w:ascii="Times New Roman" w:eastAsia="Times New Roman" w:hAnsi="Times New Roman" w:cs="Times New Roman"/>
          <w:b/>
          <w:bCs/>
          <w:sz w:val="24"/>
          <w:szCs w:val="24"/>
        </w:rPr>
        <w:t>Data</w:t>
      </w:r>
    </w:p>
    <w:p w14:paraId="6B52B24B" w14:textId="5F653F04" w:rsidR="00FF5CE5" w:rsidRDefault="00A84C47" w:rsidP="68825F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major data sets were obtained from the U.S. Centers for Disease Control</w:t>
      </w:r>
      <w:r w:rsidR="005A49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Prevention </w:t>
      </w:r>
      <w:r w:rsidR="005A49C5">
        <w:rPr>
          <w:rFonts w:ascii="Times New Roman" w:eastAsia="Times New Roman" w:hAnsi="Times New Roman" w:cs="Times New Roman"/>
          <w:sz w:val="24"/>
          <w:szCs w:val="24"/>
        </w:rPr>
        <w:t xml:space="preserve">(CDC) </w:t>
      </w:r>
      <w:r>
        <w:rPr>
          <w:rFonts w:ascii="Times New Roman" w:eastAsia="Times New Roman" w:hAnsi="Times New Roman" w:cs="Times New Roman"/>
          <w:sz w:val="24"/>
          <w:szCs w:val="24"/>
        </w:rPr>
        <w:t>and the U.S. Census Bureau.  In addition, a State spelling to abbreviation dataset was manually constructed from resources found on the internet.  Data was downloaded as either a CSV or xlsx formatted file.  If the file was xlsx formatted, it was converted to CSV to reduce its size and make it easier to manually edit, if required.  The author if this paper had difficulty finding continuous U.S. State population statistics on the Census Bureau’s web site.  Two CSV files were downloaded.  One covering years from 2000 to 2010 an another from 2011 to 2020.  The last two years of census data was not used in this analysis.  The Census Bureau files were cleaned up and concatenated into a single CSV file.</w:t>
      </w:r>
      <w:r w:rsidR="00FF5CE5">
        <w:rPr>
          <w:rFonts w:ascii="Times New Roman" w:eastAsia="Times New Roman" w:hAnsi="Times New Roman" w:cs="Times New Roman"/>
          <w:sz w:val="24"/>
          <w:szCs w:val="24"/>
        </w:rPr>
        <w:t xml:space="preserve">  The State population data was required for calculating the </w:t>
      </w:r>
      <w:r w:rsidR="00FF5CE5" w:rsidRPr="00FF5CE5">
        <w:rPr>
          <w:rFonts w:ascii="Times New Roman" w:eastAsia="Times New Roman" w:hAnsi="Times New Roman" w:cs="Times New Roman"/>
          <w:i/>
          <w:iCs/>
          <w:sz w:val="24"/>
          <w:szCs w:val="24"/>
        </w:rPr>
        <w:t>Crude Death Rate</w:t>
      </w:r>
      <w:r w:rsidR="00FF5CE5">
        <w:rPr>
          <w:rFonts w:ascii="Times New Roman" w:eastAsia="Times New Roman" w:hAnsi="Times New Roman" w:cs="Times New Roman"/>
          <w:sz w:val="24"/>
          <w:szCs w:val="24"/>
        </w:rPr>
        <w:t xml:space="preserve"> for each U.S. State.</w:t>
      </w:r>
    </w:p>
    <w:p w14:paraId="701A7A1C" w14:textId="1D3BB691" w:rsidR="00FF5CE5" w:rsidRDefault="00FF5CE5" w:rsidP="68825F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A49C5">
        <w:rPr>
          <w:rFonts w:ascii="Times New Roman" w:eastAsia="Times New Roman" w:hAnsi="Times New Roman" w:cs="Times New Roman"/>
          <w:sz w:val="24"/>
          <w:szCs w:val="24"/>
        </w:rPr>
        <w:t xml:space="preserve">The main data set for this study was downloaded from the CDC’s website in xlsx format and converted to a CSV.  This made it easier to manually edit and work with the file if required.  The original file consisted of seven columns and 137,700 rows.  There are a number of blank or </w:t>
      </w:r>
      <w:proofErr w:type="spellStart"/>
      <w:r w:rsidR="005A49C5" w:rsidRPr="005A49C5">
        <w:rPr>
          <w:rFonts w:ascii="Times New Roman" w:eastAsia="Times New Roman" w:hAnsi="Times New Roman" w:cs="Times New Roman"/>
          <w:i/>
          <w:iCs/>
          <w:sz w:val="24"/>
          <w:szCs w:val="24"/>
        </w:rPr>
        <w:lastRenderedPageBreak/>
        <w:t>NaN</w:t>
      </w:r>
      <w:proofErr w:type="spellEnd"/>
      <w:r w:rsidR="005A49C5">
        <w:rPr>
          <w:rFonts w:ascii="Times New Roman" w:eastAsia="Times New Roman" w:hAnsi="Times New Roman" w:cs="Times New Roman"/>
          <w:sz w:val="24"/>
          <w:szCs w:val="24"/>
        </w:rPr>
        <w:t xml:space="preserve"> values in the dataset, but these were not imputed or removed.  According to the data set’s web site, blank values do not indicate the data is missing, it just has not been reported and recorded at time of publication </w:t>
      </w:r>
      <w:r w:rsidR="00806A09">
        <w:rPr>
          <w:rFonts w:ascii="Times New Roman" w:eastAsia="Times New Roman" w:hAnsi="Times New Roman" w:cs="Times New Roman"/>
          <w:sz w:val="24"/>
          <w:szCs w:val="24"/>
        </w:rPr>
        <w:t>and will be added later</w:t>
      </w:r>
      <w:r w:rsidR="005A49C5">
        <w:rPr>
          <w:rFonts w:ascii="Times New Roman" w:eastAsia="Times New Roman" w:hAnsi="Times New Roman" w:cs="Times New Roman"/>
          <w:sz w:val="24"/>
          <w:szCs w:val="24"/>
        </w:rPr>
        <w:t>.  For this analysis, missing values can be tolerated.</w:t>
      </w:r>
    </w:p>
    <w:p w14:paraId="6AB4B176" w14:textId="4FA8E3EF" w:rsidR="00806A09" w:rsidRPr="0083571E" w:rsidRDefault="00806A09" w:rsidP="68825FB6">
      <w:pPr>
        <w:spacing w:line="480" w:lineRule="auto"/>
        <w:rPr>
          <w:rFonts w:ascii="Times New Roman" w:eastAsia="Times New Roman" w:hAnsi="Times New Roman" w:cs="Times New Roman"/>
          <w:b/>
          <w:bCs/>
          <w:sz w:val="24"/>
          <w:szCs w:val="24"/>
        </w:rPr>
      </w:pPr>
      <w:r w:rsidRPr="0083571E">
        <w:rPr>
          <w:rFonts w:ascii="Times New Roman" w:eastAsia="Times New Roman" w:hAnsi="Times New Roman" w:cs="Times New Roman"/>
          <w:b/>
          <w:bCs/>
          <w:sz w:val="24"/>
          <w:szCs w:val="24"/>
        </w:rPr>
        <w:t>How Death Rates are Measured</w:t>
      </w:r>
    </w:p>
    <w:p w14:paraId="5043A5C5" w14:textId="7B643CDD" w:rsidR="00806A09" w:rsidRDefault="00806A09" w:rsidP="68825F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There are three measures used when reporting death rates in literature.  The first is the raw number which is just a count of the number of deaths and their causes.  The next is age adjusted rate which are computed using a direct method by applying age-specific rates in a population of interest to a standardized age distribution.  Age-adjusted rates are calculated as in:</w:t>
      </w:r>
    </w:p>
    <w:p w14:paraId="78147D6F" w14:textId="6C0013DF" w:rsidR="00806A09" w:rsidRPr="00806A09" w:rsidRDefault="00806A09" w:rsidP="68825FB6">
      <w:pPr>
        <w:spacing w:line="480" w:lineRule="auto"/>
        <w:rPr>
          <w:rStyle w:val="mjx-char"/>
          <w:rFonts w:ascii="Times New Roman" w:eastAsia="Times New Roman" w:hAnsi="Times New Roman" w:cs="Times New Roman"/>
          <w:color w:val="000000"/>
          <w:sz w:val="31"/>
          <w:szCs w:val="31"/>
          <w:shd w:val="clear" w:color="auto" w:fill="FFFFFF"/>
        </w:rPr>
      </w:pPr>
      <m:oMathPara>
        <m:oMath>
          <m:r>
            <m:rPr>
              <m:sty m:val="p"/>
            </m:rPr>
            <w:rPr>
              <w:rStyle w:val="mjx-char"/>
              <w:rFonts w:ascii="Cambria Math" w:hAnsi="Cambria Math" w:cs="Open Sans"/>
              <w:color w:val="000000"/>
              <w:sz w:val="31"/>
              <w:szCs w:val="31"/>
              <w:shd w:val="clear" w:color="auto" w:fill="FFFFFF"/>
            </w:rPr>
            <m:t>∑</m:t>
          </m:r>
          <m:r>
            <m:rPr>
              <m:sty m:val="p"/>
            </m:rPr>
            <w:rPr>
              <w:rStyle w:val="mjx-char"/>
              <w:rFonts w:ascii="Cambria Math" w:hAnsi="Cambria Math" w:cs="Open Sans"/>
              <w:color w:val="000000"/>
              <w:shd w:val="clear" w:color="auto" w:fill="FFFFFF"/>
            </w:rPr>
            <m:t>ni = 1</m:t>
          </m:r>
          <m:r>
            <m:rPr>
              <m:sty m:val="p"/>
            </m:rPr>
            <w:rPr>
              <w:rStyle w:val="mjx-char"/>
              <w:rFonts w:ascii="Cambria Math" w:hAnsi="Cambria Math" w:cs="Open Sans"/>
              <w:color w:val="000000"/>
              <w:sz w:val="31"/>
              <w:szCs w:val="31"/>
              <w:shd w:val="clear" w:color="auto" w:fill="FFFFFF"/>
            </w:rPr>
            <m:t>r</m:t>
          </m:r>
          <m:r>
            <m:rPr>
              <m:sty m:val="p"/>
            </m:rPr>
            <w:rPr>
              <w:rStyle w:val="mjx-char"/>
              <w:rFonts w:ascii="Cambria Math" w:hAnsi="Cambria Math" w:cs="Open Sans"/>
              <w:color w:val="000000"/>
              <w:shd w:val="clear" w:color="auto" w:fill="FFFFFF"/>
            </w:rPr>
            <m:t>i</m:t>
          </m:r>
          <m:r>
            <m:rPr>
              <m:sty m:val="p"/>
            </m:rPr>
            <w:rPr>
              <w:rStyle w:val="mjx-char"/>
              <w:rFonts w:ascii="Cambria Math" w:hAnsi="Cambria Math" w:cs="Open Sans"/>
              <w:color w:val="000000"/>
              <w:sz w:val="31"/>
              <w:szCs w:val="31"/>
              <w:shd w:val="clear" w:color="auto" w:fill="FFFFFF"/>
            </w:rPr>
            <m:t> × (p</m:t>
          </m:r>
          <m:r>
            <m:rPr>
              <m:sty m:val="p"/>
            </m:rPr>
            <w:rPr>
              <w:rStyle w:val="mjx-char"/>
              <w:rFonts w:ascii="Cambria Math" w:hAnsi="Cambria Math" w:cs="Open Sans"/>
              <w:color w:val="000000"/>
              <w:shd w:val="clear" w:color="auto" w:fill="FFFFFF"/>
            </w:rPr>
            <m:t>i </m:t>
          </m:r>
          <m:r>
            <m:rPr>
              <m:sty m:val="p"/>
            </m:rPr>
            <w:rPr>
              <w:rStyle w:val="mjx-char"/>
              <w:rFonts w:ascii="Cambria Math" w:hAnsi="Cambria Math" w:cs="Open Sans"/>
              <w:color w:val="000000"/>
              <w:sz w:val="31"/>
              <w:szCs w:val="31"/>
              <w:shd w:val="clear" w:color="auto" w:fill="FFFFFF"/>
            </w:rPr>
            <m:t>/ P)</m:t>
          </m:r>
        </m:oMath>
      </m:oMathPara>
    </w:p>
    <w:p w14:paraId="4097B6AD" w14:textId="47CF91BA" w:rsidR="00806A09" w:rsidRDefault="00806A09" w:rsidP="68825FB6">
      <w:pPr>
        <w:spacing w:line="480" w:lineRule="auto"/>
        <w:rPr>
          <w:rStyle w:val="mjx-char"/>
          <w:rFonts w:ascii="Times New Roman" w:eastAsia="Times New Roman" w:hAnsi="Times New Roman" w:cs="Times New Roman"/>
          <w:color w:val="000000"/>
          <w:sz w:val="24"/>
          <w:szCs w:val="24"/>
          <w:shd w:val="clear" w:color="auto" w:fill="FFFFFF"/>
        </w:rPr>
      </w:pPr>
      <w:r>
        <w:rPr>
          <w:rStyle w:val="mjx-char"/>
          <w:rFonts w:ascii="Times New Roman" w:eastAsia="Times New Roman" w:hAnsi="Times New Roman" w:cs="Times New Roman"/>
          <w:color w:val="000000"/>
          <w:sz w:val="24"/>
          <w:szCs w:val="24"/>
          <w:shd w:val="clear" w:color="auto" w:fill="FFFFFF"/>
        </w:rPr>
        <w:t>where</w:t>
      </w:r>
    </w:p>
    <w:p w14:paraId="66666180" w14:textId="76DDB5F5" w:rsidR="00806A09" w:rsidRDefault="00806A09" w:rsidP="68825FB6">
      <w:pPr>
        <w:spacing w:line="480" w:lineRule="auto"/>
        <w:rPr>
          <w:rFonts w:ascii="Times New Roman" w:eastAsia="Times New Roman" w:hAnsi="Times New Roman" w:cs="Times New Roman"/>
          <w:sz w:val="24"/>
          <w:szCs w:val="24"/>
        </w:rPr>
      </w:pPr>
      <w:proofErr w:type="spellStart"/>
      <w:r>
        <w:rPr>
          <w:rStyle w:val="Emphasis"/>
          <w:rFonts w:ascii="Open Sans" w:hAnsi="Open Sans" w:cs="Open Sans"/>
          <w:color w:val="000000"/>
          <w:sz w:val="26"/>
          <w:szCs w:val="26"/>
          <w:shd w:val="clear" w:color="auto" w:fill="FFFFFF"/>
        </w:rPr>
        <w:t>r</w:t>
      </w:r>
      <w:r>
        <w:rPr>
          <w:rStyle w:val="Emphasis"/>
          <w:rFonts w:ascii="Open Sans" w:hAnsi="Open Sans" w:cs="Open Sans"/>
          <w:color w:val="000000"/>
          <w:sz w:val="17"/>
          <w:szCs w:val="17"/>
          <w:shd w:val="clear" w:color="auto" w:fill="FFFFFF"/>
          <w:vertAlign w:val="subscript"/>
        </w:rPr>
        <w:t>i</w:t>
      </w:r>
      <w:proofErr w:type="spellEnd"/>
      <w:r>
        <w:rPr>
          <w:rStyle w:val="Emphasis"/>
          <w:rFonts w:ascii="Open Sans" w:hAnsi="Open Sans" w:cs="Open Sans"/>
          <w:color w:val="000000"/>
          <w:sz w:val="17"/>
          <w:szCs w:val="17"/>
          <w:shd w:val="clear" w:color="auto" w:fill="FFFFFF"/>
          <w:vertAlign w:val="subscript"/>
        </w:rPr>
        <w:t xml:space="preserve"> </w:t>
      </w:r>
      <w:r>
        <w:rPr>
          <w:rFonts w:ascii="Times New Roman" w:eastAsia="Times New Roman" w:hAnsi="Times New Roman" w:cs="Times New Roman"/>
          <w:sz w:val="24"/>
          <w:szCs w:val="24"/>
        </w:rPr>
        <w:t xml:space="preserve">= rate in age group </w:t>
      </w:r>
      <w:r w:rsidRPr="00806A09">
        <w:rPr>
          <w:rFonts w:ascii="Times New Roman" w:eastAsia="Times New Roman" w:hAnsi="Times New Roman" w:cs="Times New Roman"/>
          <w:i/>
          <w:iCs/>
          <w:sz w:val="24"/>
          <w:szCs w:val="24"/>
        </w:rPr>
        <w:t>i</w:t>
      </w:r>
      <w:r>
        <w:rPr>
          <w:rFonts w:ascii="Times New Roman" w:eastAsia="Times New Roman" w:hAnsi="Times New Roman" w:cs="Times New Roman"/>
          <w:sz w:val="24"/>
          <w:szCs w:val="24"/>
        </w:rPr>
        <w:t xml:space="preserve"> in the population of interest</w:t>
      </w:r>
    </w:p>
    <w:p w14:paraId="69D76873" w14:textId="46703CF4" w:rsidR="00806A09" w:rsidRDefault="0083571E" w:rsidP="68825FB6">
      <w:pPr>
        <w:spacing w:line="480" w:lineRule="auto"/>
        <w:rPr>
          <w:rFonts w:ascii="Times New Roman" w:eastAsia="Times New Roman" w:hAnsi="Times New Roman" w:cs="Times New Roman"/>
          <w:sz w:val="24"/>
          <w:szCs w:val="24"/>
        </w:rPr>
      </w:pPr>
      <w:r>
        <w:rPr>
          <w:rStyle w:val="Emphasis"/>
          <w:rFonts w:ascii="Open Sans" w:hAnsi="Open Sans" w:cs="Open Sans"/>
          <w:color w:val="000000"/>
          <w:sz w:val="26"/>
          <w:szCs w:val="26"/>
          <w:shd w:val="clear" w:color="auto" w:fill="FFFFFF"/>
        </w:rPr>
        <w:t>p</w:t>
      </w:r>
      <w:r>
        <w:rPr>
          <w:rStyle w:val="Emphasis"/>
          <w:rFonts w:ascii="Open Sans" w:hAnsi="Open Sans" w:cs="Open Sans"/>
          <w:color w:val="000000"/>
          <w:sz w:val="17"/>
          <w:szCs w:val="17"/>
          <w:shd w:val="clear" w:color="auto" w:fill="FFFFFF"/>
          <w:vertAlign w:val="subscript"/>
        </w:rPr>
        <w:t>i</w:t>
      </w:r>
      <w:r>
        <w:rPr>
          <w:rStyle w:val="Emphasis"/>
          <w:rFonts w:ascii="Open Sans" w:hAnsi="Open Sans" w:cs="Open Sans"/>
          <w:color w:val="000000"/>
          <w:sz w:val="17"/>
          <w:szCs w:val="17"/>
          <w:shd w:val="clear" w:color="auto" w:fill="FFFFFF"/>
          <w:vertAlign w:val="subscript"/>
        </w:rPr>
        <w:t xml:space="preserve"> </w:t>
      </w:r>
      <w:r>
        <w:rPr>
          <w:rFonts w:ascii="Times New Roman" w:eastAsia="Times New Roman" w:hAnsi="Times New Roman" w:cs="Times New Roman"/>
          <w:sz w:val="24"/>
          <w:szCs w:val="24"/>
        </w:rPr>
        <w:t xml:space="preserve">= standard population in age group </w:t>
      </w:r>
      <w:r w:rsidRPr="0083571E">
        <w:rPr>
          <w:rFonts w:ascii="Times New Roman" w:eastAsia="Times New Roman" w:hAnsi="Times New Roman" w:cs="Times New Roman"/>
          <w:i/>
          <w:iCs/>
          <w:sz w:val="24"/>
          <w:szCs w:val="24"/>
        </w:rPr>
        <w:t>i</w:t>
      </w:r>
    </w:p>
    <w:p w14:paraId="3DEC98DE" w14:textId="3DC2CB3A" w:rsidR="0083571E" w:rsidRDefault="0083571E" w:rsidP="68825FB6">
      <w:pPr>
        <w:spacing w:line="480" w:lineRule="auto"/>
        <w:rPr>
          <w:rStyle w:val="mjx-char"/>
          <w:rFonts w:ascii="MJXc-TeX-math-Iw" w:hAnsi="MJXc-TeX-math-Iw" w:cs="Open Sans"/>
          <w:color w:val="000000"/>
          <w:shd w:val="clear" w:color="auto" w:fill="FFFFFF"/>
        </w:rPr>
      </w:pPr>
      <w:r>
        <w:rPr>
          <w:rStyle w:val="mjx-char"/>
          <w:rFonts w:ascii="MJXc-TeX-math-Iw" w:hAnsi="MJXc-TeX-math-Iw" w:cs="Open Sans"/>
          <w:color w:val="000000"/>
          <w:sz w:val="31"/>
          <w:szCs w:val="31"/>
          <w:shd w:val="clear" w:color="auto" w:fill="FFFFFF"/>
        </w:rPr>
        <w:t>P</w:t>
      </w:r>
      <w:r>
        <w:rPr>
          <w:rStyle w:val="mjx-char"/>
          <w:rFonts w:ascii="MJXc-TeX-main-Rw" w:hAnsi="MJXc-TeX-main-Rw" w:cs="Open Sans"/>
          <w:color w:val="000000"/>
          <w:sz w:val="31"/>
          <w:szCs w:val="31"/>
          <w:shd w:val="clear" w:color="auto" w:fill="FFFFFF"/>
        </w:rPr>
        <w:t>=</w:t>
      </w:r>
      <w:r>
        <w:rPr>
          <w:rStyle w:val="mjx-char"/>
          <w:rFonts w:ascii="MJXc-TeX-math-Iw" w:hAnsi="MJXc-TeX-math-Iw" w:cs="Open Sans"/>
          <w:color w:val="000000"/>
          <w:sz w:val="31"/>
          <w:szCs w:val="31"/>
          <w:shd w:val="clear" w:color="auto" w:fill="FFFFFF"/>
        </w:rPr>
        <w:t> </w:t>
      </w:r>
      <w:r>
        <w:rPr>
          <w:rStyle w:val="mjx-char"/>
          <w:rFonts w:ascii="MJXc-TeX-size1-Rw" w:hAnsi="MJXc-TeX-size1-Rw" w:cs="Open Sans"/>
          <w:color w:val="000000"/>
          <w:sz w:val="31"/>
          <w:szCs w:val="31"/>
          <w:shd w:val="clear" w:color="auto" w:fill="FFFFFF"/>
        </w:rPr>
        <w:t>∑</w:t>
      </w:r>
      <w:proofErr w:type="spellStart"/>
      <w:r>
        <w:rPr>
          <w:rStyle w:val="mjx-char"/>
          <w:rFonts w:ascii="MJXc-TeX-math-Iw" w:hAnsi="MJXc-TeX-math-Iw" w:cs="Open Sans"/>
          <w:color w:val="000000"/>
          <w:shd w:val="clear" w:color="auto" w:fill="FFFFFF"/>
        </w:rPr>
        <w:t>ni</w:t>
      </w:r>
      <w:proofErr w:type="spellEnd"/>
      <w:r>
        <w:rPr>
          <w:rStyle w:val="mjx-char"/>
          <w:rFonts w:ascii="MJXc-TeX-math-Iw" w:hAnsi="MJXc-TeX-math-Iw" w:cs="Open Sans"/>
          <w:color w:val="000000"/>
          <w:shd w:val="clear" w:color="auto" w:fill="FFFFFF"/>
        </w:rPr>
        <w:t> </w:t>
      </w:r>
      <w:r>
        <w:rPr>
          <w:rStyle w:val="mjx-char"/>
          <w:rFonts w:ascii="MJXc-TeX-main-Rw" w:hAnsi="MJXc-TeX-main-Rw" w:cs="Open Sans"/>
          <w:color w:val="000000"/>
          <w:shd w:val="clear" w:color="auto" w:fill="FFFFFF"/>
        </w:rPr>
        <w:t>=</w:t>
      </w:r>
      <w:r>
        <w:rPr>
          <w:rStyle w:val="mjx-char"/>
          <w:rFonts w:ascii="MJXc-TeX-math-Iw" w:hAnsi="MJXc-TeX-math-Iw" w:cs="Open Sans"/>
          <w:color w:val="000000"/>
          <w:shd w:val="clear" w:color="auto" w:fill="FFFFFF"/>
        </w:rPr>
        <w:t> </w:t>
      </w:r>
      <w:r>
        <w:rPr>
          <w:rStyle w:val="mjx-char"/>
          <w:rFonts w:ascii="MJXc-TeX-main-Rw" w:hAnsi="MJXc-TeX-main-Rw" w:cs="Open Sans"/>
          <w:color w:val="000000"/>
          <w:shd w:val="clear" w:color="auto" w:fill="FFFFFF"/>
        </w:rPr>
        <w:t>1</w:t>
      </w:r>
      <w:r>
        <w:rPr>
          <w:rStyle w:val="mjx-char"/>
          <w:rFonts w:ascii="MJXc-TeX-math-Iw" w:hAnsi="MJXc-TeX-math-Iw" w:cs="Open Sans"/>
          <w:color w:val="000000"/>
          <w:sz w:val="31"/>
          <w:szCs w:val="31"/>
          <w:shd w:val="clear" w:color="auto" w:fill="FFFFFF"/>
        </w:rPr>
        <w:t>p</w:t>
      </w:r>
      <w:r>
        <w:rPr>
          <w:rStyle w:val="mjx-char"/>
          <w:rFonts w:ascii="MJXc-TeX-math-Iw" w:hAnsi="MJXc-TeX-math-Iw" w:cs="Open Sans"/>
          <w:color w:val="000000"/>
          <w:shd w:val="clear" w:color="auto" w:fill="FFFFFF"/>
        </w:rPr>
        <w:t>i</w:t>
      </w:r>
    </w:p>
    <w:p w14:paraId="50F6788E" w14:textId="50BFECD9" w:rsidR="0083571E" w:rsidRDefault="0083571E" w:rsidP="68825FB6">
      <w:pPr>
        <w:spacing w:line="480" w:lineRule="auto"/>
        <w:rPr>
          <w:rStyle w:val="Emphasis"/>
          <w:rFonts w:ascii="Times New Roman" w:hAnsi="Times New Roman" w:cs="Times New Roman"/>
          <w:i w:val="0"/>
          <w:iCs w:val="0"/>
          <w:color w:val="000000"/>
          <w:sz w:val="24"/>
          <w:szCs w:val="24"/>
          <w:shd w:val="clear" w:color="auto" w:fill="FFFFFF"/>
        </w:rPr>
      </w:pPr>
      <w:r>
        <w:rPr>
          <w:rStyle w:val="Emphasis"/>
          <w:rFonts w:ascii="Open Sans" w:hAnsi="Open Sans" w:cs="Open Sans"/>
          <w:color w:val="000000"/>
          <w:sz w:val="26"/>
          <w:szCs w:val="26"/>
          <w:shd w:val="clear" w:color="auto" w:fill="FFFFFF"/>
        </w:rPr>
        <w:t>n</w:t>
      </w:r>
      <w:r>
        <w:rPr>
          <w:rStyle w:val="Emphasis"/>
          <w:rFonts w:ascii="Open Sans" w:hAnsi="Open Sans" w:cs="Open Sans"/>
          <w:i w:val="0"/>
          <w:iCs w:val="0"/>
          <w:color w:val="000000"/>
          <w:sz w:val="26"/>
          <w:szCs w:val="26"/>
          <w:shd w:val="clear" w:color="auto" w:fill="FFFFFF"/>
        </w:rPr>
        <w:t xml:space="preserve"> </w:t>
      </w:r>
      <w:r>
        <w:rPr>
          <w:rStyle w:val="Emphasis"/>
          <w:rFonts w:ascii="Times New Roman" w:hAnsi="Times New Roman" w:cs="Times New Roman"/>
          <w:i w:val="0"/>
          <w:iCs w:val="0"/>
          <w:color w:val="000000"/>
          <w:sz w:val="24"/>
          <w:szCs w:val="24"/>
          <w:shd w:val="clear" w:color="auto" w:fill="FFFFFF"/>
        </w:rPr>
        <w:t>= total number of age groups over the age range of the age-adjusted rate (CDC, 2022).</w:t>
      </w:r>
    </w:p>
    <w:p w14:paraId="6F54EA9A" w14:textId="06200FDA" w:rsidR="00491005" w:rsidRDefault="0083571E" w:rsidP="00491005">
      <w:pPr>
        <w:spacing w:line="480" w:lineRule="auto"/>
        <w:ind w:firstLine="720"/>
        <w:rPr>
          <w:rFonts w:ascii="Times New Roman" w:eastAsia="Times New Roman" w:hAnsi="Times New Roman" w:cs="Times New Roman"/>
          <w:sz w:val="24"/>
          <w:szCs w:val="24"/>
        </w:rPr>
      </w:pPr>
      <w:r>
        <w:rPr>
          <w:rStyle w:val="Emphasis"/>
          <w:rFonts w:ascii="Times New Roman" w:hAnsi="Times New Roman" w:cs="Times New Roman"/>
          <w:i w:val="0"/>
          <w:iCs w:val="0"/>
          <w:color w:val="000000"/>
          <w:sz w:val="24"/>
          <w:szCs w:val="24"/>
          <w:shd w:val="clear" w:color="auto" w:fill="FFFFFF"/>
        </w:rPr>
        <w:t xml:space="preserve">The CDC recommends using the age-adjusted rate when comparing populations of different geographic areas.  However, it does warn that age-adjusted rates should be viewed as relative indexes rather than actual measures of risk (CDC, 2022).  The final measure used in reporting death rates is the </w:t>
      </w:r>
      <w:r w:rsidRPr="0083571E">
        <w:rPr>
          <w:rStyle w:val="Emphasis"/>
          <w:rFonts w:ascii="Times New Roman" w:hAnsi="Times New Roman" w:cs="Times New Roman"/>
          <w:color w:val="000000"/>
          <w:sz w:val="24"/>
          <w:szCs w:val="24"/>
          <w:shd w:val="clear" w:color="auto" w:fill="FFFFFF"/>
        </w:rPr>
        <w:t>Crude Death Rate</w:t>
      </w:r>
      <w:r>
        <w:rPr>
          <w:rStyle w:val="Emphasis"/>
          <w:rFonts w:ascii="Times New Roman" w:hAnsi="Times New Roman" w:cs="Times New Roman"/>
          <w:i w:val="0"/>
          <w:iCs w:val="0"/>
          <w:color w:val="000000"/>
          <w:sz w:val="24"/>
          <w:szCs w:val="24"/>
          <w:shd w:val="clear" w:color="auto" w:fill="FFFFFF"/>
        </w:rPr>
        <w:t xml:space="preserve">. These are useful when a person wants to map </w:t>
      </w:r>
      <w:r>
        <w:rPr>
          <w:rStyle w:val="Emphasis"/>
          <w:rFonts w:ascii="Times New Roman" w:hAnsi="Times New Roman" w:cs="Times New Roman"/>
          <w:i w:val="0"/>
          <w:iCs w:val="0"/>
          <w:color w:val="000000"/>
          <w:sz w:val="24"/>
          <w:szCs w:val="24"/>
          <w:shd w:val="clear" w:color="auto" w:fill="FFFFFF"/>
        </w:rPr>
        <w:lastRenderedPageBreak/>
        <w:t>observed statewide (CDC, 2018)</w:t>
      </w:r>
      <w:r w:rsidR="00491005">
        <w:rPr>
          <w:rStyle w:val="Emphasis"/>
          <w:rFonts w:ascii="Times New Roman" w:hAnsi="Times New Roman" w:cs="Times New Roman"/>
          <w:i w:val="0"/>
          <w:iCs w:val="0"/>
          <w:color w:val="000000"/>
          <w:sz w:val="24"/>
          <w:szCs w:val="24"/>
          <w:shd w:val="clear" w:color="auto" w:fill="FFFFFF"/>
        </w:rPr>
        <w:t xml:space="preserve">.  The formula for calculating this measure is: </w:t>
      </w:r>
      <m:oMath>
        <m:r>
          <m:rPr>
            <m:sty m:val="p"/>
          </m:rPr>
          <w:rPr>
            <w:rStyle w:val="Emphasis"/>
            <w:rFonts w:ascii="Cambria Math" w:hAnsi="Cambria Math" w:cs="Times New Roman"/>
            <w:color w:val="000000"/>
            <w:sz w:val="24"/>
            <w:szCs w:val="24"/>
            <w:shd w:val="clear" w:color="auto" w:fill="FFFFFF"/>
          </w:rPr>
          <m:t>Number of deaths/population*</m:t>
        </m:r>
        <m:r>
          <m:rPr>
            <m:sty m:val="p"/>
          </m:rPr>
          <w:rPr>
            <w:rStyle w:val="Emphasis"/>
            <w:rFonts w:ascii="Cambria Math" w:hAnsi="Cambria Math" w:cs="Times New Roman"/>
            <w:color w:val="000000"/>
            <w:sz w:val="24"/>
            <w:szCs w:val="24"/>
            <w:shd w:val="clear" w:color="auto" w:fill="FFFFFF"/>
          </w:rPr>
          <m:t>100,000</m:t>
        </m:r>
      </m:oMath>
      <w:r w:rsidR="00491005">
        <w:rPr>
          <w:rStyle w:val="Emphasis"/>
          <w:rFonts w:ascii="Times New Roman" w:hAnsi="Times New Roman" w:cs="Times New Roman"/>
          <w:i w:val="0"/>
          <w:iCs w:val="0"/>
          <w:color w:val="000000"/>
          <w:sz w:val="24"/>
          <w:szCs w:val="24"/>
          <w:shd w:val="clear" w:color="auto" w:fill="FFFFFF"/>
        </w:rPr>
        <w:t>.  This will give the crude death rate per 100,000 people (Spears, 2024).  F</w:t>
      </w:r>
      <w:r w:rsidR="00491005">
        <w:rPr>
          <w:rFonts w:ascii="Times New Roman" w:eastAsia="Times New Roman" w:hAnsi="Times New Roman" w:cs="Times New Roman"/>
          <w:sz w:val="24"/>
          <w:szCs w:val="24"/>
        </w:rPr>
        <w:t>or this analysis the age adjusted death rate will be used since, populations located in different geographical locations are being compared.</w:t>
      </w:r>
    </w:p>
    <w:p w14:paraId="2A6247F0" w14:textId="77777777" w:rsidR="00491005" w:rsidRPr="0083571E" w:rsidRDefault="00491005" w:rsidP="00491005">
      <w:pPr>
        <w:spacing w:line="480" w:lineRule="auto"/>
        <w:rPr>
          <w:rFonts w:ascii="Times New Roman" w:eastAsia="Times New Roman" w:hAnsi="Times New Roman" w:cs="Times New Roman"/>
          <w:sz w:val="24"/>
          <w:szCs w:val="24"/>
        </w:rPr>
      </w:pPr>
    </w:p>
    <w:p w14:paraId="025349E4" w14:textId="77777777" w:rsidR="005A49C5" w:rsidRDefault="005A49C5" w:rsidP="68825FB6">
      <w:pPr>
        <w:spacing w:line="480" w:lineRule="auto"/>
        <w:rPr>
          <w:rFonts w:ascii="Times New Roman" w:eastAsia="Times New Roman" w:hAnsi="Times New Roman" w:cs="Times New Roman"/>
          <w:sz w:val="24"/>
          <w:szCs w:val="24"/>
        </w:rPr>
      </w:pPr>
    </w:p>
    <w:sectPr w:rsidR="005A49C5">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4B629" w14:textId="77777777" w:rsidR="007237D7" w:rsidRDefault="007237D7">
      <w:pPr>
        <w:spacing w:after="0" w:line="240" w:lineRule="auto"/>
      </w:pPr>
      <w:r>
        <w:separator/>
      </w:r>
    </w:p>
  </w:endnote>
  <w:endnote w:type="continuationSeparator" w:id="0">
    <w:p w14:paraId="5416F322" w14:textId="77777777" w:rsidR="007237D7" w:rsidRDefault="00723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825FB6" w14:paraId="161979E7" w14:textId="77777777" w:rsidTr="68825FB6">
      <w:trPr>
        <w:trHeight w:val="300"/>
      </w:trPr>
      <w:tc>
        <w:tcPr>
          <w:tcW w:w="3120" w:type="dxa"/>
        </w:tcPr>
        <w:p w14:paraId="4911CF96" w14:textId="3026BFDE" w:rsidR="68825FB6" w:rsidRDefault="68825FB6" w:rsidP="68825FB6">
          <w:pPr>
            <w:pStyle w:val="Header"/>
            <w:ind w:left="-115"/>
          </w:pPr>
        </w:p>
      </w:tc>
      <w:tc>
        <w:tcPr>
          <w:tcW w:w="3120" w:type="dxa"/>
        </w:tcPr>
        <w:p w14:paraId="7A329B0F" w14:textId="3848F21E" w:rsidR="68825FB6" w:rsidRDefault="68825FB6" w:rsidP="68825FB6">
          <w:pPr>
            <w:pStyle w:val="Header"/>
            <w:jc w:val="center"/>
          </w:pPr>
        </w:p>
      </w:tc>
      <w:tc>
        <w:tcPr>
          <w:tcW w:w="3120" w:type="dxa"/>
        </w:tcPr>
        <w:p w14:paraId="043921A2" w14:textId="00C1F2D1" w:rsidR="68825FB6" w:rsidRDefault="68825FB6" w:rsidP="68825FB6">
          <w:pPr>
            <w:pStyle w:val="Header"/>
            <w:ind w:right="-115"/>
            <w:jc w:val="right"/>
          </w:pPr>
        </w:p>
      </w:tc>
    </w:tr>
  </w:tbl>
  <w:p w14:paraId="18A3B5D0" w14:textId="70E9FC30" w:rsidR="68825FB6" w:rsidRDefault="68825FB6" w:rsidP="6882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825FB6" w14:paraId="461B6B48" w14:textId="77777777" w:rsidTr="68825FB6">
      <w:trPr>
        <w:trHeight w:val="300"/>
      </w:trPr>
      <w:tc>
        <w:tcPr>
          <w:tcW w:w="3120" w:type="dxa"/>
        </w:tcPr>
        <w:p w14:paraId="0E1F6F18" w14:textId="61842453" w:rsidR="68825FB6" w:rsidRDefault="68825FB6" w:rsidP="68825FB6">
          <w:pPr>
            <w:pStyle w:val="Header"/>
            <w:ind w:left="-115"/>
          </w:pPr>
        </w:p>
      </w:tc>
      <w:tc>
        <w:tcPr>
          <w:tcW w:w="3120" w:type="dxa"/>
        </w:tcPr>
        <w:p w14:paraId="59ADBD07" w14:textId="4DB28BD9" w:rsidR="68825FB6" w:rsidRDefault="68825FB6" w:rsidP="68825FB6">
          <w:pPr>
            <w:pStyle w:val="Header"/>
            <w:jc w:val="center"/>
          </w:pPr>
        </w:p>
      </w:tc>
      <w:tc>
        <w:tcPr>
          <w:tcW w:w="3120" w:type="dxa"/>
        </w:tcPr>
        <w:p w14:paraId="2CC12348" w14:textId="65524F16" w:rsidR="68825FB6" w:rsidRDefault="68825FB6" w:rsidP="68825FB6">
          <w:pPr>
            <w:pStyle w:val="Header"/>
            <w:ind w:right="-115"/>
            <w:jc w:val="right"/>
          </w:pPr>
        </w:p>
      </w:tc>
    </w:tr>
  </w:tbl>
  <w:p w14:paraId="37751E74" w14:textId="06CF39B4" w:rsidR="68825FB6" w:rsidRDefault="68825FB6" w:rsidP="68825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95A8" w14:textId="77777777" w:rsidR="007237D7" w:rsidRDefault="007237D7">
      <w:pPr>
        <w:spacing w:after="0" w:line="240" w:lineRule="auto"/>
      </w:pPr>
      <w:r>
        <w:separator/>
      </w:r>
    </w:p>
  </w:footnote>
  <w:footnote w:type="continuationSeparator" w:id="0">
    <w:p w14:paraId="0CE5C1ED" w14:textId="77777777" w:rsidR="007237D7" w:rsidRDefault="007237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825FB6" w14:paraId="5DFEC4CC" w14:textId="77777777" w:rsidTr="68825FB6">
      <w:trPr>
        <w:trHeight w:val="300"/>
      </w:trPr>
      <w:tc>
        <w:tcPr>
          <w:tcW w:w="3120" w:type="dxa"/>
        </w:tcPr>
        <w:p w14:paraId="5C84AC8C" w14:textId="77FC2867" w:rsidR="68825FB6" w:rsidRDefault="68825FB6" w:rsidP="68825FB6">
          <w:pPr>
            <w:pStyle w:val="Header"/>
            <w:ind w:left="-115"/>
          </w:pPr>
          <w:r>
            <w:t>W. Winters</w:t>
          </w:r>
        </w:p>
      </w:tc>
      <w:tc>
        <w:tcPr>
          <w:tcW w:w="3120" w:type="dxa"/>
        </w:tcPr>
        <w:p w14:paraId="6409B717" w14:textId="24935CF3" w:rsidR="68825FB6" w:rsidRDefault="68825FB6" w:rsidP="68825FB6">
          <w:pPr>
            <w:pStyle w:val="Header"/>
            <w:jc w:val="center"/>
          </w:pPr>
        </w:p>
      </w:tc>
      <w:tc>
        <w:tcPr>
          <w:tcW w:w="3120" w:type="dxa"/>
        </w:tcPr>
        <w:p w14:paraId="041B02EA" w14:textId="1B875ED7" w:rsidR="68825FB6" w:rsidRDefault="68825FB6" w:rsidP="68825FB6">
          <w:pPr>
            <w:pStyle w:val="Header"/>
            <w:ind w:right="-115"/>
            <w:jc w:val="right"/>
          </w:pPr>
          <w:r>
            <w:fldChar w:fldCharType="begin"/>
          </w:r>
          <w:r>
            <w:instrText>PAGE</w:instrText>
          </w:r>
          <w:r w:rsidR="00000000">
            <w:fldChar w:fldCharType="separate"/>
          </w:r>
          <w:r w:rsidR="000F413E">
            <w:rPr>
              <w:noProof/>
            </w:rPr>
            <w:t>2</w:t>
          </w:r>
          <w:r>
            <w:fldChar w:fldCharType="end"/>
          </w:r>
        </w:p>
      </w:tc>
    </w:tr>
  </w:tbl>
  <w:p w14:paraId="1E72C252" w14:textId="70D19A5A" w:rsidR="68825FB6" w:rsidRDefault="68825FB6" w:rsidP="6882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8825FB6" w14:paraId="6FB6BBC9" w14:textId="77777777" w:rsidTr="68825FB6">
      <w:trPr>
        <w:trHeight w:val="300"/>
      </w:trPr>
      <w:tc>
        <w:tcPr>
          <w:tcW w:w="3120" w:type="dxa"/>
        </w:tcPr>
        <w:p w14:paraId="091E1F86" w14:textId="10B62BED" w:rsidR="68825FB6" w:rsidRDefault="68825FB6" w:rsidP="68825FB6">
          <w:pPr>
            <w:pStyle w:val="Header"/>
            <w:ind w:left="-115"/>
          </w:pPr>
        </w:p>
      </w:tc>
      <w:tc>
        <w:tcPr>
          <w:tcW w:w="3120" w:type="dxa"/>
        </w:tcPr>
        <w:p w14:paraId="14BDA156" w14:textId="6D430FAE" w:rsidR="68825FB6" w:rsidRDefault="68825FB6" w:rsidP="68825FB6">
          <w:pPr>
            <w:pStyle w:val="Header"/>
            <w:jc w:val="center"/>
          </w:pPr>
        </w:p>
      </w:tc>
      <w:tc>
        <w:tcPr>
          <w:tcW w:w="3120" w:type="dxa"/>
        </w:tcPr>
        <w:p w14:paraId="66E031BB" w14:textId="0D4F687C" w:rsidR="68825FB6" w:rsidRDefault="68825FB6" w:rsidP="68825FB6">
          <w:pPr>
            <w:pStyle w:val="Header"/>
            <w:ind w:right="-115"/>
            <w:jc w:val="right"/>
          </w:pPr>
        </w:p>
      </w:tc>
    </w:tr>
  </w:tbl>
  <w:p w14:paraId="132E17C8" w14:textId="260D8292" w:rsidR="68825FB6" w:rsidRDefault="68825FB6" w:rsidP="68825F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E9B62B"/>
    <w:rsid w:val="000F413E"/>
    <w:rsid w:val="002925EB"/>
    <w:rsid w:val="00491005"/>
    <w:rsid w:val="005A49C5"/>
    <w:rsid w:val="007237D7"/>
    <w:rsid w:val="00806A09"/>
    <w:rsid w:val="0083571E"/>
    <w:rsid w:val="00A84C47"/>
    <w:rsid w:val="00FF5CE5"/>
    <w:rsid w:val="01ABF7C7"/>
    <w:rsid w:val="0969C11D"/>
    <w:rsid w:val="102E38B6"/>
    <w:rsid w:val="14D3E20E"/>
    <w:rsid w:val="33A2E32F"/>
    <w:rsid w:val="346CBBA2"/>
    <w:rsid w:val="4F045C48"/>
    <w:rsid w:val="50E3F4A8"/>
    <w:rsid w:val="59618566"/>
    <w:rsid w:val="5B16871D"/>
    <w:rsid w:val="61407122"/>
    <w:rsid w:val="63DCB65E"/>
    <w:rsid w:val="68463AAD"/>
    <w:rsid w:val="68825FB6"/>
    <w:rsid w:val="6BE7C843"/>
    <w:rsid w:val="6DC760A3"/>
    <w:rsid w:val="74E9B62B"/>
    <w:rsid w:val="7E745704"/>
    <w:rsid w:val="7E8D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B62B"/>
  <w15:chartTrackingRefBased/>
  <w15:docId w15:val="{B8C01686-3AEA-447B-882F-BC5A354B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1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PlaceholderText">
    <w:name w:val="Placeholder Text"/>
    <w:basedOn w:val="DefaultParagraphFont"/>
    <w:uiPriority w:val="99"/>
    <w:semiHidden/>
    <w:rsid w:val="00806A09"/>
    <w:rPr>
      <w:color w:val="808080"/>
    </w:rPr>
  </w:style>
  <w:style w:type="character" w:customStyle="1" w:styleId="mjx-char">
    <w:name w:val="mjx-char"/>
    <w:basedOn w:val="DefaultParagraphFont"/>
    <w:rsid w:val="00806A09"/>
  </w:style>
  <w:style w:type="character" w:styleId="Emphasis">
    <w:name w:val="Emphasis"/>
    <w:basedOn w:val="DefaultParagraphFont"/>
    <w:uiPriority w:val="20"/>
    <w:qFormat/>
    <w:rsid w:val="00806A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Winters, Wiley W</dc:creator>
  <cp:keywords/>
  <dc:description/>
  <cp:lastModifiedBy>Winters, William W (US)</cp:lastModifiedBy>
  <cp:revision>2</cp:revision>
  <dcterms:created xsi:type="dcterms:W3CDTF">2024-02-29T00:35:00Z</dcterms:created>
  <dcterms:modified xsi:type="dcterms:W3CDTF">2024-03-04T23:01:00Z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2024-03-04T21:39:35Z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e2958496-463b-46a2-bf8d-403e59aa4e79</vt:lpwstr>
  </property>
  <property fmtid="{D5CDD505-2E9C-101B-9397-08002B2CF9AE}" pid="8" name="MSIP_Label_502bc7c3-f152-4da1-98bd-f7a1bebdf752_ContentBits">
    <vt:lpwstr>0</vt:lpwstr>
  </property>
</Properties>
</file>