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color w:val="7B3FF2"/>
          <w:sz w:val="56"/>
          <w:szCs w:val="56"/>
        </w:rPr>
        <w:t xml:space="preserve">◆</w:t>
      </w:r>
    </w:p>
    <w:p>
      <w:pPr>
        <w:spacing w:after="60"/>
        <w:jc w:val="center"/>
      </w:pPr>
      <w:r>
        <w:rPr>
          <w:b/>
          <w:bCs/>
          <w:color w:val="1B2A5E"/>
          <w:sz w:val="32"/>
          <w:szCs w:val="32"/>
        </w:rPr>
        <w:t xml:space="preserve">ENDPOINT SHIELD SOLUTIONS</w:t>
      </w:r>
    </w:p>
    <w:p>
      <w:pPr>
        <w:spacing w:after="500"/>
        <w:jc w:val="center"/>
      </w:pPr>
      <w:r>
        <w:rPr>
          <w:color w:val="555555"/>
          <w:sz w:val="20"/>
          <w:szCs w:val="20"/>
        </w:rPr>
        <w:t xml:space="preserve">Endpoint Security &amp; Compliance Monitoring</w:t>
      </w:r>
    </w:p>
    <w:p>
      <w:pPr>
        <w:spacing w:after="100"/>
        <w:jc w:val="center"/>
      </w:pPr>
      <w:r>
        <w:rPr>
          <w:b/>
          <w:bCs/>
          <w:color w:val="1B2A5E"/>
          <w:sz w:val="36"/>
          <w:szCs w:val="36"/>
        </w:rPr>
        <w:t xml:space="preserve">BUSINESS ASSOCIATE AGREEMENT</w:t>
      </w:r>
    </w:p>
    <w:p>
      <w:pPr>
        <w:spacing w:after="500"/>
        <w:jc w:val="center"/>
      </w:pPr>
      <w:r>
        <w:rPr>
          <w:i/>
          <w:iCs/>
          <w:color w:val="7B3FF2"/>
          <w:sz w:val="24"/>
          <w:szCs w:val="24"/>
        </w:rPr>
        <w:t xml:space="preserve">The "Shield Guardian"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4E5" w:val="clear"/>
            <w:tcMar>
              <w:top w:type="dxa" w:w="160"/>
              <w:left w:type="dxa" w:w="200"/>
              <w:bottom w:type="dxa" w:w="160"/>
              <w:right w:type="dxa" w:w="200"/>
            </w:tcMar>
          </w:tcPr>
          <w:p>
            <w:pPr>
              <w:spacing w:after="100"/>
            </w:pPr>
            <w:r>
              <w:rPr>
                <w:b/>
                <w:bCs/>
                <w:color w:val="8A4B00"/>
                <w:sz w:val="21"/>
                <w:szCs w:val="21"/>
              </w:rPr>
              <w:t xml:space="preserve">TEMPLATE — NOT LEGAL ADVICE. REVIEW BY COUNSEL REQUIRED BEFORE USE.</w:t>
            </w:r>
          </w:p>
          <w:p>
            <w:pPr>
              <w:spacing w:after="80" w:line="276"/>
            </w:pPr>
            <w:r>
              <w:rPr>
                <w:color w:val="5C3200"/>
                <w:sz w:val="20"/>
                <w:szCs w:val="20"/>
              </w:rPr>
              <w:t xml:space="preserve">This document is a drafting starting point prepared for Endpoint Shield Solutions. It has not been reviewed by an attorney and is not legal advice.</w:t>
            </w:r>
          </w:p>
          <w:p>
            <w:pPr>
              <w:spacing w:after="80" w:line="276"/>
            </w:pPr>
            <w:r>
              <w:rPr>
                <w:color w:val="5C3200"/>
                <w:sz w:val="20"/>
                <w:szCs w:val="20"/>
              </w:rPr>
              <w:t xml:space="preserve">A Business Associate Agreement is a binding contract that creates direct liability under the HITECH Act. Have a healthcare attorney licensed in your state review and adapt it before it is offered to any client.</w:t>
            </w:r>
          </w:p>
          <w:p>
            <w:pPr>
              <w:spacing w:after="80" w:line="276"/>
            </w:pPr>
            <w:r>
              <w:rPr>
                <w:color w:val="5C3200"/>
                <w:sz w:val="20"/>
                <w:szCs w:val="20"/>
              </w:rPr>
              <w:t xml:space="preserve">CRITICAL: Section 4 describes security safeguards. Do not sign this agreement, and do not deliver it to a prospective client, until every safeguard listed in Section 4 is actually implemented and verifiable. Bracketed items marked [VERIFY BEFORE SIGNING] are not yet implemented in the Endpoint Shield Solutions platform as of the date this template was prepared. Contractually asserting a control you do not operate is the single largest source of Business Associate liability.</w:t>
            </w:r>
          </w:p>
        </w:tc>
      </w:tr>
    </w:tbl>
    <w:p>
      <w:r>
        <w:br w:type="page"/>
      </w:r>
    </w:p>
    <w:p>
      <w:pPr>
        <w:pStyle w:val="Heading1"/>
        <w:spacing w:after="180" w:before="320"/>
      </w:pPr>
      <w:r>
        <w:rPr>
          <w:b/>
          <w:bCs/>
          <w:color w:val="1B2A5E"/>
          <w:sz w:val="28"/>
          <w:szCs w:val="28"/>
        </w:rPr>
        <w:t xml:space="preserve">Business Associate Agreement</w:t>
      </w:r>
    </w:p>
    <w:p>
      <w:pPr>
        <w:spacing w:after="160" w:line="276"/>
      </w:pPr>
      <w:r>
        <w:rPr>
          <w:color w:val="000000"/>
          <w:sz w:val="21"/>
          <w:szCs w:val="21"/>
        </w:rPr>
        <w:t xml:space="preserve">This Business Associate Agreement (the "Agreement") is entered into as of ____________________ (the "Effective Date") by and between:</w:t>
      </w:r>
    </w:p>
    <w:p>
      <w:pPr>
        <w:spacing w:after="160" w:line="276"/>
        <w:ind w:left="720"/>
      </w:pPr>
      <w:r>
        <w:rPr>
          <w:color w:val="000000"/>
          <w:sz w:val="21"/>
          <w:szCs w:val="21"/>
        </w:rPr>
        <w:t xml:space="preserve">[CLIENT LEGAL NAME], a [STATE] [ENTITY TYPE] located at [CLIENT ADDRESS] ("Covered Entity"), and</w:t>
      </w:r>
    </w:p>
    <w:p>
      <w:pPr>
        <w:spacing w:after="160" w:line="276"/>
        <w:ind w:left="720"/>
      </w:pPr>
      <w:r>
        <w:rPr>
          <w:color w:val="000000"/>
          <w:sz w:val="21"/>
          <w:szCs w:val="21"/>
        </w:rPr>
        <w:t xml:space="preserve">Endpoint Shield Solutions, a [STATE] [ENTITY TYPE] located at [YOUR ADDRESS] ("Business Associate").</w:t>
      </w:r>
    </w:p>
    <w:p>
      <w:pPr>
        <w:spacing w:after="160" w:line="276"/>
      </w:pPr>
      <w:r>
        <w:rPr>
          <w:color w:val="000000"/>
          <w:sz w:val="21"/>
          <w:szCs w:val="21"/>
        </w:rPr>
        <w:t xml:space="preserve">Covered Entity and Business Associate are each a "Party" and together the "Parties."</w:t>
      </w:r>
    </w:p>
    <w:p>
      <w:pPr>
        <w:spacing w:after="120" w:line="276"/>
      </w:pPr>
      <w:r>
        <w:rPr>
          <w:b/>
          <w:bCs/>
          <w:color w:val="000000"/>
          <w:sz w:val="21"/>
          <w:szCs w:val="21"/>
        </w:rPr>
        <w:t xml:space="preserve">RECITALS</w:t>
      </w:r>
    </w:p>
    <w:p>
      <w:pPr>
        <w:spacing w:after="160" w:line="276"/>
      </w:pPr>
      <w:r>
        <w:rPr>
          <w:color w:val="000000"/>
          <w:sz w:val="21"/>
          <w:szCs w:val="21"/>
        </w:rPr>
        <w:t xml:space="preserve">Covered Entity is a healthcare provider subject to the Administrative Simplification requirements of the Health Insurance Portability and Accountability Act of 1996 and its implementing regulations at 45 CFR Parts 160 and 164 ("HIPAA"), as amended by the Health Information Technology for Economic and Clinical Health Act ("HITECH").</w:t>
      </w:r>
    </w:p>
    <w:p>
      <w:pPr>
        <w:spacing w:after="160" w:line="276"/>
      </w:pPr>
      <w:r>
        <w:rPr>
          <w:color w:val="000000"/>
          <w:sz w:val="21"/>
          <w:szCs w:val="21"/>
        </w:rPr>
        <w:t xml:space="preserve">Business Associate provides endpoint monitoring, antivirus orchestration, and managed information technology services to Covered Entity under a separate services agreement (the "Underlying Agreement").</w:t>
      </w:r>
    </w:p>
    <w:p>
      <w:pPr>
        <w:spacing w:after="160" w:line="276"/>
      </w:pPr>
      <w:r>
        <w:rPr>
          <w:color w:val="000000"/>
          <w:sz w:val="21"/>
          <w:szCs w:val="21"/>
        </w:rPr>
        <w:t xml:space="preserve">In performing those services, Business Associate may create, receive, maintain, or transmit Protected Health Information on behalf of Covered Entity. The Parties enter into this Agreement to comply with 45 CFR § 164.504(e).</w:t>
      </w:r>
    </w:p>
    <w:p>
      <w:pPr>
        <w:pBdr>
          <w:bottom w:val="single" w:color="7B3FF2" w:sz="6"/>
        </w:pBdr>
        <w:spacing w:after="200" w:before="120"/>
      </w:pPr>
      <w:r>
        <w:rPr>
          <w:sz w:val="2"/>
          <w:szCs w:val="2"/>
        </w:rPr>
        <w:t xml:space="preserve"/>
      </w:r>
    </w:p>
    <w:p>
      <w:pPr>
        <w:pStyle w:val="Heading1"/>
        <w:spacing w:after="180" w:before="320"/>
      </w:pPr>
      <w:r>
        <w:rPr>
          <w:b/>
          <w:bCs/>
          <w:color w:val="1B2A5E"/>
          <w:sz w:val="28"/>
          <w:szCs w:val="28"/>
        </w:rPr>
        <w:t xml:space="preserve">1.  Definitions</w:t>
      </w:r>
    </w:p>
    <w:p>
      <w:pPr>
        <w:spacing w:after="160" w:line="276"/>
      </w:pPr>
      <w:r>
        <w:rPr>
          <w:color w:val="000000"/>
          <w:sz w:val="21"/>
          <w:szCs w:val="21"/>
        </w:rPr>
        <w:t xml:space="preserve">Capitalized terms not defined here have the meanings given in 45 CFR Parts 160 and 164.</w:t>
      </w:r>
    </w:p>
    <w:p>
      <w:pPr>
        <w:spacing w:after="120" w:line="276"/>
        <w:ind w:left="720" w:hanging="360"/>
      </w:pPr>
      <w:r>
        <w:rPr>
          <w:b/>
          <w:bCs/>
          <w:sz w:val="21"/>
          <w:szCs w:val="21"/>
        </w:rPr>
        <w:t xml:space="preserve">(a)  </w:t>
      </w:r>
      <w:r>
        <w:rPr>
          <w:sz w:val="21"/>
          <w:szCs w:val="21"/>
        </w:rPr>
        <w:t xml:space="preserve">"Protected Health Information" or "PHI" means individually identifiable health information as defined at 45 CFR § 160.103, limited to information Business Associate creates, receives, maintains, or transmits on behalf of Covered Entity.</w:t>
      </w:r>
    </w:p>
    <w:p>
      <w:pPr>
        <w:spacing w:after="120" w:line="276"/>
        <w:ind w:left="720" w:hanging="360"/>
      </w:pPr>
      <w:r>
        <w:rPr>
          <w:b/>
          <w:bCs/>
          <w:sz w:val="21"/>
          <w:szCs w:val="21"/>
        </w:rPr>
        <w:t xml:space="preserve">(b)  </w:t>
      </w:r>
      <w:r>
        <w:rPr>
          <w:sz w:val="21"/>
          <w:szCs w:val="21"/>
        </w:rPr>
        <w:t xml:space="preserve">"Electronic Protected Health Information" or "ePHI" means PHI transmitted by or maintained in electronic media.</w:t>
      </w:r>
    </w:p>
    <w:p>
      <w:pPr>
        <w:spacing w:after="120" w:line="276"/>
        <w:ind w:left="720" w:hanging="360"/>
      </w:pPr>
      <w:r>
        <w:rPr>
          <w:b/>
          <w:bCs/>
          <w:sz w:val="21"/>
          <w:szCs w:val="21"/>
        </w:rPr>
        <w:t xml:space="preserve">(c)  </w:t>
      </w:r>
      <w:r>
        <w:rPr>
          <w:sz w:val="21"/>
          <w:szCs w:val="21"/>
        </w:rPr>
        <w:t xml:space="preserve">"Breach" has the meaning given at 45 CFR § 164.402.</w:t>
      </w:r>
    </w:p>
    <w:p>
      <w:pPr>
        <w:spacing w:after="120" w:line="276"/>
        <w:ind w:left="720" w:hanging="360"/>
      </w:pPr>
      <w:r>
        <w:rPr>
          <w:b/>
          <w:bCs/>
          <w:sz w:val="21"/>
          <w:szCs w:val="21"/>
        </w:rPr>
        <w:t xml:space="preserve">(d)  </w:t>
      </w:r>
      <w:r>
        <w:rPr>
          <w:sz w:val="21"/>
          <w:szCs w:val="21"/>
        </w:rPr>
        <w:t xml:space="preserve">"Security Incident" has the meaning given at 45 CFR § 164.304.</w:t>
      </w:r>
    </w:p>
    <w:p>
      <w:pPr>
        <w:spacing w:after="120" w:line="276"/>
        <w:ind w:left="720" w:hanging="360"/>
      </w:pPr>
      <w:r>
        <w:rPr>
          <w:b/>
          <w:bCs/>
          <w:sz w:val="21"/>
          <w:szCs w:val="21"/>
        </w:rPr>
        <w:t xml:space="preserve">(e)  </w:t>
      </w:r>
      <w:r>
        <w:rPr>
          <w:sz w:val="21"/>
          <w:szCs w:val="21"/>
        </w:rPr>
        <w:t xml:space="preserve">"Subcontractor" means a person or entity to whom Business Associate delegates a function, activity, or service involving PHI, other than a member of Business Associate's workforce.</w:t>
      </w:r>
    </w:p>
    <w:p>
      <w:pPr>
        <w:spacing w:after="120" w:line="276"/>
        <w:ind w:left="720" w:hanging="360"/>
      </w:pPr>
      <w:r>
        <w:rPr>
          <w:b/>
          <w:bCs/>
          <w:sz w:val="21"/>
          <w:szCs w:val="21"/>
        </w:rPr>
        <w:t xml:space="preserve">(f)  </w:t>
      </w:r>
      <w:r>
        <w:rPr>
          <w:sz w:val="21"/>
          <w:szCs w:val="21"/>
        </w:rPr>
        <w:t xml:space="preserve">"Services" means the endpoint monitoring, inventory, and managed security services described in the Underlying Agreement.</w:t>
      </w:r>
    </w:p>
    <w:p>
      <w:pPr>
        <w:pStyle w:val="Heading1"/>
        <w:spacing w:after="180" w:before="320"/>
      </w:pPr>
      <w:r>
        <w:rPr>
          <w:b/>
          <w:bCs/>
          <w:color w:val="1B2A5E"/>
          <w:sz w:val="28"/>
          <w:szCs w:val="28"/>
        </w:rPr>
        <w:t xml:space="preserve">2.  Scope of Access to PHI</w:t>
      </w:r>
    </w:p>
    <w:p>
      <w:pPr>
        <w:spacing w:after="160" w:line="276"/>
      </w:pPr>
      <w:r>
        <w:rPr>
          <w:color w:val="000000"/>
          <w:sz w:val="21"/>
          <w:szCs w:val="21"/>
        </w:rPr>
        <w:t xml:space="preserve">The Parties acknowledge and agree that the Services are directed at monitoring the availability, configuration, and security posture of Covered Entity's workstations and endpoints. The Endpoint Shield Solutions platform is not designed to and does not intentionally ingest, index, store, or transmit the contents of patient records.</w:t>
      </w:r>
    </w:p>
    <w:p>
      <w:pPr>
        <w:spacing w:after="160" w:line="276"/>
      </w:pPr>
      <w:r>
        <w:rPr>
          <w:color w:val="000000"/>
          <w:sz w:val="21"/>
          <w:szCs w:val="21"/>
        </w:rPr>
        <w:t xml:space="preserve">Business Associate may nevertheless encounter PHI incidentally in the ordinary course of administering, troubleshooting, or remediating Covered Entity's endpoints — for example, while performing remote support on a workstation displaying a patient chart. All obligations in this Agreement apply in full to any PHI so encountered.</w:t>
      </w:r>
    </w:p>
    <w:p>
      <w:pPr>
        <w:spacing w:after="160" w:line="276"/>
      </w:pPr>
      <w:r>
        <w:rPr>
          <w:i/>
          <w:iCs/>
          <w:color w:val="555555"/>
          <w:sz w:val="21"/>
          <w:szCs w:val="21"/>
        </w:rPr>
        <w:t xml:space="preserve">This section describes the intended scope of access. It does not limit Business Associate's obligations under HIPAA with respect to any PHI it actually creates, receives, maintains, or transmits.</w:t>
      </w:r>
    </w:p>
    <w:p>
      <w:pPr>
        <w:pStyle w:val="Heading1"/>
        <w:spacing w:after="180" w:before="320"/>
      </w:pPr>
      <w:r>
        <w:rPr>
          <w:b/>
          <w:bCs/>
          <w:color w:val="1B2A5E"/>
          <w:sz w:val="28"/>
          <w:szCs w:val="28"/>
        </w:rPr>
        <w:t xml:space="preserve">3.  Permitted Uses and Disclosures</w:t>
      </w:r>
    </w:p>
    <w:p>
      <w:pPr>
        <w:spacing w:after="120" w:line="276"/>
        <w:ind w:left="720" w:hanging="360"/>
      </w:pPr>
      <w:r>
        <w:rPr>
          <w:b/>
          <w:bCs/>
          <w:sz w:val="21"/>
          <w:szCs w:val="21"/>
        </w:rPr>
        <w:t xml:space="preserve">(a)  </w:t>
      </w:r>
      <w:r>
        <w:rPr>
          <w:sz w:val="21"/>
          <w:szCs w:val="21"/>
        </w:rPr>
        <w:t xml:space="preserve">Business Associate may use or disclose PHI only as necessary to perform the Services, as required by law, or as otherwise permitted by this Agreement.</w:t>
      </w:r>
    </w:p>
    <w:p>
      <w:pPr>
        <w:spacing w:after="120" w:line="276"/>
        <w:ind w:left="720" w:hanging="360"/>
      </w:pPr>
      <w:r>
        <w:rPr>
          <w:b/>
          <w:bCs/>
          <w:sz w:val="21"/>
          <w:szCs w:val="21"/>
        </w:rPr>
        <w:t xml:space="preserve">(b)  </w:t>
      </w:r>
      <w:r>
        <w:rPr>
          <w:sz w:val="21"/>
          <w:szCs w:val="21"/>
        </w:rPr>
        <w:t xml:space="preserve">Business Associate may use PHI for its own proper management and administration, and to carry out its legal responsibilities.</w:t>
      </w:r>
    </w:p>
    <w:p>
      <w:pPr>
        <w:spacing w:after="120" w:line="276"/>
        <w:ind w:left="720" w:hanging="360"/>
      </w:pPr>
      <w:r>
        <w:rPr>
          <w:b/>
          <w:bCs/>
          <w:sz w:val="21"/>
          <w:szCs w:val="21"/>
        </w:rPr>
        <w:t xml:space="preserve">(c)  </w:t>
      </w:r>
      <w:r>
        <w:rPr>
          <w:sz w:val="21"/>
          <w:szCs w:val="21"/>
        </w:rPr>
        <w:t xml:space="preserve">Business Associate may disclose PHI for its own proper management and administration only if the disclosure is required by law, or if Business Associate obtains reasonable assurances from the recipient that the PHI will be held confidentially, used or further disclosed only as required by law or for the purpose for which it was disclosed, and that the recipient will notify Business Associate of any breach of confidentiality.</w:t>
      </w:r>
    </w:p>
    <w:p>
      <w:pPr>
        <w:spacing w:after="120" w:line="276"/>
        <w:ind w:left="720" w:hanging="360"/>
      </w:pPr>
      <w:r>
        <w:rPr>
          <w:b/>
          <w:bCs/>
          <w:sz w:val="21"/>
          <w:szCs w:val="21"/>
        </w:rPr>
        <w:t xml:space="preserve">(d)  </w:t>
      </w:r>
      <w:r>
        <w:rPr>
          <w:sz w:val="21"/>
          <w:szCs w:val="21"/>
        </w:rPr>
        <w:t xml:space="preserve">Business Associate may de-identify PHI in accordance with 45 CFR § 164.514(a)–(c) only with Covered Entity's prior written authorization.</w:t>
      </w:r>
    </w:p>
    <w:p>
      <w:pPr>
        <w:spacing w:after="120" w:line="276"/>
        <w:ind w:left="720" w:hanging="360"/>
      </w:pPr>
      <w:r>
        <w:rPr>
          <w:b/>
          <w:bCs/>
          <w:sz w:val="21"/>
          <w:szCs w:val="21"/>
        </w:rPr>
        <w:t xml:space="preserve">(e)  </w:t>
      </w:r>
      <w:r>
        <w:rPr>
          <w:sz w:val="21"/>
          <w:szCs w:val="21"/>
        </w:rPr>
        <w:t xml:space="preserve">Business Associate shall not use or disclose PHI in any manner that would violate Subpart E of 45 CFR Part 164 if done by Covered Entity, except as permitted under Sections 3(b) and 3(c).</w:t>
      </w:r>
    </w:p>
    <w:p>
      <w:pPr>
        <w:spacing w:after="120" w:line="276"/>
        <w:ind w:left="720" w:hanging="360"/>
      </w:pPr>
      <w:r>
        <w:rPr>
          <w:b/>
          <w:bCs/>
          <w:sz w:val="21"/>
          <w:szCs w:val="21"/>
        </w:rPr>
        <w:t xml:space="preserve">(f)  </w:t>
      </w:r>
      <w:r>
        <w:rPr>
          <w:sz w:val="21"/>
          <w:szCs w:val="21"/>
        </w:rPr>
        <w:t xml:space="preserve">Business Associate shall make reasonable efforts to use, disclose, and request only the minimum necessary PHI to accomplish the intended purpose, consistent with 45 CFR § 164.502(b).</w:t>
      </w:r>
    </w:p>
    <w:p>
      <w:pPr>
        <w:spacing w:after="120" w:line="276"/>
        <w:ind w:left="720" w:hanging="360"/>
      </w:pPr>
      <w:r>
        <w:rPr>
          <w:b/>
          <w:bCs/>
          <w:sz w:val="21"/>
          <w:szCs w:val="21"/>
        </w:rPr>
        <w:t xml:space="preserve">(g)  </w:t>
      </w:r>
      <w:r>
        <w:rPr>
          <w:sz w:val="21"/>
          <w:szCs w:val="21"/>
        </w:rPr>
        <w:t xml:space="preserve">Business Associate shall not sell PHI or use or disclose PHI for marketing or fundraising purposes.</w:t>
      </w:r>
    </w:p>
    <w:p>
      <w:pPr>
        <w:pStyle w:val="Heading1"/>
        <w:spacing w:after="180" w:before="320"/>
      </w:pPr>
      <w:r>
        <w:rPr>
          <w:b/>
          <w:bCs/>
          <w:color w:val="1B2A5E"/>
          <w:sz w:val="28"/>
          <w:szCs w:val="28"/>
        </w:rPr>
        <w:t xml:space="preserve">4.  Safeguards</w:t>
      </w:r>
    </w:p>
    <w:p>
      <w:pPr>
        <w:spacing w:after="160" w:line="276"/>
      </w:pPr>
      <w:r>
        <w:rPr>
          <w:color w:val="000000"/>
          <w:sz w:val="21"/>
          <w:szCs w:val="21"/>
        </w:rPr>
        <w:t xml:space="preserve">Business Associate shall use appropriate administrative, physical, and technical safeguards, and comply with Subpart C of 45 CFR Part 164 with respect to ePHI, to prevent use or disclosure of PHI other than as provided by this Agreement. Without limiting the foregoing, Business Associate represents that it maintains the following controls:</w:t>
      </w:r>
    </w:p>
    <w:p>
      <w:pPr>
        <w:pStyle w:val="Heading2"/>
        <w:spacing w:after="120" w:before="240"/>
      </w:pPr>
      <w:r>
        <w:rPr>
          <w:b/>
          <w:bCs/>
          <w:color w:val="1B2A5E"/>
          <w:sz w:val="23"/>
          <w:szCs w:val="23"/>
        </w:rPr>
        <w:t xml:space="preserve">4.1  Access Control and Authentication</w:t>
      </w:r>
    </w:p>
    <w:p>
      <w:pPr>
        <w:pStyle w:val="ListParagraph"/>
        <w:numPr>
          <w:ilvl w:val="0"/>
          <w:numId w:val="1"/>
        </w:numPr>
        <w:spacing w:after="100" w:line="276"/>
      </w:pPr>
      <w:r>
        <w:rPr>
          <w:sz w:val="21"/>
          <w:szCs w:val="21"/>
        </w:rPr>
        <w:t xml:space="preserve">Unique named user accounts for every member of Business Associate's workforce with access to the platform. Shared or generic credentials are prohibited. (45 CFR § 164.312(a)(2)(i))</w:t>
      </w:r>
    </w:p>
    <w:p>
      <w:pPr>
        <w:pStyle w:val="ListParagraph"/>
        <w:numPr>
          <w:ilvl w:val="0"/>
          <w:numId w:val="1"/>
        </w:numPr>
        <w:spacing w:after="100" w:line="276"/>
      </w:pPr>
      <w:r>
        <w:rPr>
          <w:sz w:val="21"/>
          <w:szCs w:val="21"/>
        </w:rPr>
        <w:t xml:space="preserve">Passwords stored only as salted bcrypt hashes; plaintext credentials are never persisted. (45 CFR § 164.312(d))</w:t>
      </w:r>
    </w:p>
    <w:p>
      <w:pPr>
        <w:pStyle w:val="ListParagraph"/>
        <w:numPr>
          <w:ilvl w:val="0"/>
          <w:numId w:val="1"/>
        </w:numPr>
        <w:spacing w:after="100" w:line="276"/>
      </w:pPr>
      <w:r>
        <w:rPr>
          <w:sz w:val="21"/>
          <w:szCs w:val="21"/>
        </w:rPr>
        <w:t xml:space="preserve">Authenticated sessions established via signed, time-limited bearer tokens that expire automatically. (45 CFR § 164.312(a)(2)(iii))</w:t>
      </w:r>
    </w:p>
    <w:p>
      <w:pPr>
        <w:pStyle w:val="ListParagraph"/>
        <w:numPr>
          <w:ilvl w:val="0"/>
          <w:numId w:val="1"/>
        </w:numPr>
        <w:spacing w:after="100" w:line="276"/>
      </w:pPr>
      <w:r>
        <w:rPr>
          <w:sz w:val="21"/>
          <w:szCs w:val="21"/>
        </w:rPr>
        <w:t xml:space="preserve">Logical isolation between clients: each authenticated session is scoped to a single client tenant, and requests for records belonging to another tenant are refused without disclosing their existence. (45 CFR § 164.312(a)(1))</w:t>
      </w:r>
    </w:p>
    <w:p>
      <w:pPr>
        <w:pStyle w:val="ListParagraph"/>
        <w:numPr>
          <w:ilvl w:val="0"/>
          <w:numId w:val="1"/>
        </w:numPr>
        <w:spacing w:after="100" w:line="276"/>
      </w:pPr>
      <w:r>
        <w:rPr>
          <w:sz w:val="21"/>
          <w:szCs w:val="21"/>
        </w:rPr>
        <w:t xml:space="preserve">[VERIFY BEFORE SIGNING] Multi-factor authentication for all administrative and technician accounts.</w:t>
      </w:r>
    </w:p>
    <w:p>
      <w:pPr>
        <w:pStyle w:val="ListParagraph"/>
        <w:numPr>
          <w:ilvl w:val="0"/>
          <w:numId w:val="1"/>
        </w:numPr>
        <w:spacing w:after="100" w:line="276"/>
      </w:pPr>
      <w:r>
        <w:rPr>
          <w:sz w:val="21"/>
          <w:szCs w:val="21"/>
        </w:rPr>
        <w:t xml:space="preserve">[VERIFY BEFORE SIGNING] Automatic session termination after a defined period of inactivity.</w:t>
      </w:r>
    </w:p>
    <w:p>
      <w:pPr>
        <w:pStyle w:val="Heading2"/>
        <w:spacing w:after="120" w:before="240"/>
      </w:pPr>
      <w:r>
        <w:rPr>
          <w:b/>
          <w:bCs/>
          <w:color w:val="1B2A5E"/>
          <w:sz w:val="23"/>
          <w:szCs w:val="23"/>
        </w:rPr>
        <w:t xml:space="preserve">4.2  Transmission Security</w:t>
      </w:r>
    </w:p>
    <w:p>
      <w:pPr>
        <w:pStyle w:val="ListParagraph"/>
        <w:numPr>
          <w:ilvl w:val="0"/>
          <w:numId w:val="1"/>
        </w:numPr>
        <w:spacing w:after="100" w:line="276"/>
      </w:pPr>
      <w:r>
        <w:rPr>
          <w:sz w:val="21"/>
          <w:szCs w:val="21"/>
        </w:rPr>
        <w:t xml:space="preserve">All traffic between Covered Entity's endpoints, the Endpoint Shield Solutions dashboard, and the platform API is transmitted over TLS 1.2 or higher. (45 CFR § 164.312(e)(1))</w:t>
      </w:r>
    </w:p>
    <w:p>
      <w:pPr>
        <w:pStyle w:val="ListParagraph"/>
        <w:numPr>
          <w:ilvl w:val="0"/>
          <w:numId w:val="1"/>
        </w:numPr>
        <w:spacing w:after="100" w:line="276"/>
      </w:pPr>
      <w:r>
        <w:rPr>
          <w:sz w:val="21"/>
          <w:szCs w:val="21"/>
        </w:rPr>
        <w:t xml:space="preserve">Agent-to-platform authentication uses a per-client shared secret transmitted only over an encrypted channel and compared using constant-time methods.</w:t>
      </w:r>
    </w:p>
    <w:p>
      <w:pPr>
        <w:pStyle w:val="Heading2"/>
        <w:spacing w:after="120" w:before="240"/>
      </w:pPr>
      <w:r>
        <w:rPr>
          <w:b/>
          <w:bCs/>
          <w:color w:val="1B2A5E"/>
          <w:sz w:val="23"/>
          <w:szCs w:val="23"/>
        </w:rPr>
        <w:t xml:space="preserve">4.3  Encryption at Rest</w:t>
      </w:r>
    </w:p>
    <w:p>
      <w:pPr>
        <w:pStyle w:val="ListParagraph"/>
        <w:numPr>
          <w:ilvl w:val="0"/>
          <w:numId w:val="1"/>
        </w:numPr>
        <w:spacing w:after="100" w:line="276"/>
      </w:pPr>
      <w:r>
        <w:rPr>
          <w:sz w:val="21"/>
          <w:szCs w:val="21"/>
        </w:rPr>
        <w:t xml:space="preserve">[VERIFY BEFORE SIGNING] Client records are encrypted at rest using AES-256 or an equivalent standard consistent with NIST SP 800-111. (45 CFR § 164.312(a)(2)(iv))</w:t>
      </w:r>
    </w:p>
    <w:p>
      <w:pPr>
        <w:spacing w:after="160" w:line="276"/>
      </w:pPr>
      <w:r>
        <w:rPr>
          <w:i/>
          <w:iCs/>
          <w:color w:val="555555"/>
          <w:sz w:val="21"/>
          <w:szCs w:val="21"/>
        </w:rPr>
        <w:t xml:space="preserve">If encryption at rest is not implemented at the time of signing, this subsection must be struck or rewritten to describe the equivalent alternative measure actually in place, together with the documented rationale required by 45 CFR § 164.306(d)(3). Do not leave aspirational language in a signed agreement.</w:t>
      </w:r>
    </w:p>
    <w:p>
      <w:pPr>
        <w:pStyle w:val="Heading2"/>
        <w:spacing w:after="120" w:before="240"/>
      </w:pPr>
      <w:r>
        <w:rPr>
          <w:b/>
          <w:bCs/>
          <w:color w:val="1B2A5E"/>
          <w:sz w:val="23"/>
          <w:szCs w:val="23"/>
        </w:rPr>
        <w:t xml:space="preserve">4.4  Audit Controls</w:t>
      </w:r>
    </w:p>
    <w:p>
      <w:pPr>
        <w:pStyle w:val="ListParagraph"/>
        <w:numPr>
          <w:ilvl w:val="0"/>
          <w:numId w:val="1"/>
        </w:numPr>
        <w:spacing w:after="100" w:line="276"/>
      </w:pPr>
      <w:r>
        <w:rPr>
          <w:sz w:val="21"/>
          <w:szCs w:val="21"/>
        </w:rPr>
        <w:t xml:space="preserve">[VERIFY BEFORE SIGNING] Business Associate records and retains audit logs of authentication events and of every create, modify, and delete operation performed against client records, including the acting user identity and timestamp. (45 CFR § 164.312(b))</w:t>
      </w:r>
    </w:p>
    <w:p>
      <w:pPr>
        <w:pStyle w:val="ListParagraph"/>
        <w:numPr>
          <w:ilvl w:val="0"/>
          <w:numId w:val="1"/>
        </w:numPr>
        <w:spacing w:after="100" w:line="276"/>
      </w:pPr>
      <w:r>
        <w:rPr>
          <w:sz w:val="21"/>
          <w:szCs w:val="21"/>
        </w:rPr>
        <w:t xml:space="preserve">[VERIFY BEFORE SIGNING] Audit logs are retained for not less than six (6) years and are available to Covered Entity on reasonable request.</w:t>
      </w:r>
    </w:p>
    <w:p>
      <w:pPr>
        <w:spacing w:after="160" w:line="276"/>
      </w:pPr>
      <w:r>
        <w:rPr>
          <w:i/>
          <w:iCs/>
          <w:color w:val="555555"/>
          <w:sz w:val="21"/>
          <w:szCs w:val="21"/>
        </w:rPr>
        <w:t xml:space="preserve">Note: the platform's endpoint health reporting is a measure of device availability, not an access audit trail. The two are distinct requirements and this subsection is not satisfied by the former.</w:t>
      </w:r>
    </w:p>
    <w:p>
      <w:pPr>
        <w:pStyle w:val="Heading2"/>
        <w:spacing w:after="120" w:before="240"/>
      </w:pPr>
      <w:r>
        <w:rPr>
          <w:b/>
          <w:bCs/>
          <w:color w:val="1B2A5E"/>
          <w:sz w:val="23"/>
          <w:szCs w:val="23"/>
        </w:rPr>
        <w:t xml:space="preserve">4.5  Workforce and Administrative Safeguards</w:t>
      </w:r>
    </w:p>
    <w:p>
      <w:pPr>
        <w:pStyle w:val="ListParagraph"/>
        <w:numPr>
          <w:ilvl w:val="0"/>
          <w:numId w:val="1"/>
        </w:numPr>
        <w:spacing w:after="100" w:line="276"/>
      </w:pPr>
      <w:r>
        <w:rPr>
          <w:sz w:val="21"/>
          <w:szCs w:val="21"/>
        </w:rPr>
        <w:t xml:space="preserve">[VERIFY BEFORE SIGNING] Documented HIPAA Security Rule risk analysis, reviewed at least annually. (45 CFR § 164.308(a)(1)(ii)(A))</w:t>
      </w:r>
    </w:p>
    <w:p>
      <w:pPr>
        <w:pStyle w:val="ListParagraph"/>
        <w:numPr>
          <w:ilvl w:val="0"/>
          <w:numId w:val="1"/>
        </w:numPr>
        <w:spacing w:after="100" w:line="276"/>
      </w:pPr>
      <w:r>
        <w:rPr>
          <w:sz w:val="21"/>
          <w:szCs w:val="21"/>
        </w:rPr>
        <w:t xml:space="preserve">[VERIFY BEFORE SIGNING] Documented security awareness and HIPAA training for all workforce members, completed at onboarding and annually thereafter. (45 CFR § 164.308(a)(5))</w:t>
      </w:r>
    </w:p>
    <w:p>
      <w:pPr>
        <w:pStyle w:val="ListParagraph"/>
        <w:numPr>
          <w:ilvl w:val="0"/>
          <w:numId w:val="1"/>
        </w:numPr>
        <w:spacing w:after="100" w:line="276"/>
      </w:pPr>
      <w:r>
        <w:rPr>
          <w:sz w:val="21"/>
          <w:szCs w:val="21"/>
        </w:rPr>
        <w:t xml:space="preserve">[VERIFY BEFORE SIGNING] Written sanction policy for workforce members who violate these policies. (45 CFR § 164.308(a)(1)(ii)(C))</w:t>
      </w:r>
    </w:p>
    <w:p>
      <w:pPr>
        <w:pStyle w:val="ListParagraph"/>
        <w:numPr>
          <w:ilvl w:val="0"/>
          <w:numId w:val="1"/>
        </w:numPr>
        <w:spacing w:after="100" w:line="276"/>
      </w:pPr>
      <w:r>
        <w:rPr>
          <w:sz w:val="21"/>
          <w:szCs w:val="21"/>
        </w:rPr>
        <w:t xml:space="preserve">[VERIFY BEFORE SIGNING] Written incident response and contingency plan, including data backup and disaster recovery procedures. (45 CFR § 164.308(a)(6)–(7))</w:t>
      </w:r>
    </w:p>
    <w:p>
      <w:pPr>
        <w:pStyle w:val="Heading2"/>
        <w:spacing w:after="120" w:before="240"/>
      </w:pPr>
      <w:r>
        <w:rPr>
          <w:b/>
          <w:bCs/>
          <w:color w:val="1B2A5E"/>
          <w:sz w:val="23"/>
          <w:szCs w:val="23"/>
        </w:rPr>
        <w:t xml:space="preserve">4.6  Monitoring Coverage</w:t>
      </w:r>
    </w:p>
    <w:p>
      <w:pPr>
        <w:spacing w:after="160" w:line="276"/>
      </w:pPr>
      <w:r>
        <w:rPr>
          <w:color w:val="000000"/>
          <w:sz w:val="21"/>
          <w:szCs w:val="21"/>
        </w:rPr>
        <w:t xml:space="preserve">Business Associate shall monitor the availability of Covered Entity's enrolled endpoints and shall notify Covered Entity of sustained loss of endpoint reporting in accordance with the response commitments set out in the Underlying Agreement.</w:t>
      </w:r>
    </w:p>
    <w:p>
      <w:pPr>
        <w:spacing w:after="160" w:line="276"/>
      </w:pPr>
      <w:r>
        <w:rPr>
          <w:i/>
          <w:iCs/>
          <w:color w:val="555555"/>
          <w:sz w:val="21"/>
          <w:szCs w:val="21"/>
        </w:rPr>
        <w:t xml:space="preserve">State actual monitoring and response coverage in the Underlying Agreement — the specific hours, the notification method, and the response time you can genuinely meet. Do not describe coverage as continuous, around-the-clock, or 24/7 unless staffed alerting and escalation are actually in place. This is a frequently audited representation.</w:t>
      </w:r>
    </w:p>
    <w:p>
      <w:pPr>
        <w:pStyle w:val="Heading1"/>
        <w:spacing w:after="180" w:before="320"/>
      </w:pPr>
      <w:r>
        <w:rPr>
          <w:b/>
          <w:bCs/>
          <w:color w:val="1B2A5E"/>
          <w:sz w:val="28"/>
          <w:szCs w:val="28"/>
        </w:rPr>
        <w:t xml:space="preserve">5.  Subcontractors</w:t>
      </w:r>
    </w:p>
    <w:p>
      <w:pPr>
        <w:spacing w:after="160" w:line="276"/>
      </w:pPr>
      <w:r>
        <w:rPr>
          <w:color w:val="000000"/>
          <w:sz w:val="21"/>
          <w:szCs w:val="21"/>
        </w:rPr>
        <w:t xml:space="preserve">In accordance with 45 CFR §§ 164.502(e)(1)(ii) and 164.308(b)(2), Business Associate shall ensure that any Subcontractor that creates, receives, maintains, or transmits PHI on behalf of Business Associate agrees in writing to restrictions and conditions at least as restrictive as those that apply to Business Associate under this Agreement.</w:t>
      </w:r>
    </w:p>
    <w:p>
      <w:pPr>
        <w:spacing w:after="160" w:line="276"/>
      </w:pPr>
      <w:r>
        <w:rPr>
          <w:color w:val="000000"/>
          <w:sz w:val="21"/>
          <w:szCs w:val="21"/>
        </w:rPr>
        <w:t xml:space="preserve">Business Associate shall maintain a current list of such Subcontractors — including cloud hosting, database, and infrastructure providers — and shall make it available to Covered Entity on request.</w:t>
      </w:r>
    </w:p>
    <w:p>
      <w:pPr>
        <w:pStyle w:val="Heading1"/>
        <w:spacing w:after="180" w:before="320"/>
      </w:pPr>
      <w:r>
        <w:rPr>
          <w:b/>
          <w:bCs/>
          <w:color w:val="1B2A5E"/>
          <w:sz w:val="28"/>
          <w:szCs w:val="28"/>
        </w:rPr>
        <w:t xml:space="preserve">6.  Reporting</w:t>
      </w:r>
    </w:p>
    <w:p>
      <w:pPr>
        <w:spacing w:after="120" w:line="276"/>
        <w:ind w:left="720" w:hanging="360"/>
      </w:pPr>
      <w:r>
        <w:rPr>
          <w:b/>
          <w:bCs/>
          <w:sz w:val="21"/>
          <w:szCs w:val="21"/>
        </w:rPr>
        <w:t xml:space="preserve">(a)  </w:t>
      </w:r>
      <w:r>
        <w:rPr>
          <w:sz w:val="21"/>
          <w:szCs w:val="21"/>
        </w:rPr>
        <w:t xml:space="preserve">Business Associate shall report to Covered Entity any use or disclosure of PHI not permitted by this Agreement of which it becomes aware, without unreasonable delay and in no case later than [FIVE (5)] business days after discovery.</w:t>
      </w:r>
    </w:p>
    <w:p>
      <w:pPr>
        <w:spacing w:after="120" w:line="276"/>
        <w:ind w:left="720" w:hanging="360"/>
      </w:pPr>
      <w:r>
        <w:rPr>
          <w:b/>
          <w:bCs/>
          <w:sz w:val="21"/>
          <w:szCs w:val="21"/>
        </w:rPr>
        <w:t xml:space="preserve">(b)  </w:t>
      </w:r>
      <w:r>
        <w:rPr>
          <w:sz w:val="21"/>
          <w:szCs w:val="21"/>
        </w:rPr>
        <w:t xml:space="preserve">Business Associate shall report any Breach of Unsecured PHI to Covered Entity without unreasonable delay and in no case later than [TEN (10)] calendar days after discovery, in accordance with 45 CFR § 164.410. The report shall include, to the extent known: the individuals affected, the nature of the PHI involved, the date of the Breach and date of discovery, the steps taken to mitigate harm, and the corrective action taken.</w:t>
      </w:r>
    </w:p>
    <w:p>
      <w:pPr>
        <w:spacing w:after="120" w:line="276"/>
        <w:ind w:left="720" w:hanging="360"/>
      </w:pPr>
      <w:r>
        <w:rPr>
          <w:b/>
          <w:bCs/>
          <w:sz w:val="21"/>
          <w:szCs w:val="21"/>
        </w:rPr>
        <w:t xml:space="preserve">(c)  </w:t>
      </w:r>
      <w:r>
        <w:rPr>
          <w:sz w:val="21"/>
          <w:szCs w:val="21"/>
        </w:rPr>
        <w:t xml:space="preserve">Business Associate shall report Security Incidents of which it becomes aware in accordance with 45 CFR § 164.314(a)(2)(i)(C). The Parties agree that routine unsuccessful attempts — including scans, pings, and failed login attempts that do not result in unauthorized access — may be reported in the aggregate on a [QUARTERLY] basis.</w:t>
      </w:r>
    </w:p>
    <w:p>
      <w:pPr>
        <w:spacing w:after="120" w:line="276"/>
        <w:ind w:left="720" w:hanging="360"/>
      </w:pPr>
      <w:r>
        <w:rPr>
          <w:b/>
          <w:bCs/>
          <w:sz w:val="21"/>
          <w:szCs w:val="21"/>
        </w:rPr>
        <w:t xml:space="preserve">(d)  </w:t>
      </w:r>
      <w:r>
        <w:rPr>
          <w:sz w:val="21"/>
          <w:szCs w:val="21"/>
        </w:rPr>
        <w:t xml:space="preserve">Business Associate shall mitigate, to the extent practicable, any harmful effect known to it of a use or disclosure of PHI in violation of this Agreement.</w:t>
      </w:r>
    </w:p>
    <w:p>
      <w:pPr>
        <w:pStyle w:val="Heading1"/>
        <w:spacing w:after="180" w:before="320"/>
      </w:pPr>
      <w:r>
        <w:rPr>
          <w:b/>
          <w:bCs/>
          <w:color w:val="1B2A5E"/>
          <w:sz w:val="28"/>
          <w:szCs w:val="28"/>
        </w:rPr>
        <w:t xml:space="preserve">7.  Individual Rights</w:t>
      </w:r>
    </w:p>
    <w:p>
      <w:pPr>
        <w:spacing w:after="160" w:line="276"/>
      </w:pPr>
      <w:r>
        <w:rPr>
          <w:color w:val="000000"/>
          <w:sz w:val="21"/>
          <w:szCs w:val="21"/>
        </w:rPr>
        <w:t xml:space="preserve">Because the Services are not designed to maintain PHI in a Designated Record Set, the Parties do not anticipate that Business Associate will hold PHI subject to the obligations in this Section. If Business Associate does come to maintain PHI in a Designated Record Set, the following apply:</w:t>
      </w:r>
    </w:p>
    <w:p>
      <w:pPr>
        <w:spacing w:after="120" w:line="276"/>
        <w:ind w:left="720" w:hanging="360"/>
      </w:pPr>
      <w:r>
        <w:rPr>
          <w:b/>
          <w:bCs/>
          <w:sz w:val="21"/>
          <w:szCs w:val="21"/>
        </w:rPr>
        <w:t xml:space="preserve">(a)  </w:t>
      </w:r>
      <w:r>
        <w:rPr>
          <w:sz w:val="21"/>
          <w:szCs w:val="21"/>
        </w:rPr>
        <w:t xml:space="preserve">Business Associate shall make PHI available to Covered Entity as necessary to satisfy Covered Entity's obligations under 45 CFR § 164.524 (individual access), within [TEN (10)] business days of request.</w:t>
      </w:r>
    </w:p>
    <w:p>
      <w:pPr>
        <w:spacing w:after="120" w:line="276"/>
        <w:ind w:left="720" w:hanging="360"/>
      </w:pPr>
      <w:r>
        <w:rPr>
          <w:b/>
          <w:bCs/>
          <w:sz w:val="21"/>
          <w:szCs w:val="21"/>
        </w:rPr>
        <w:t xml:space="preserve">(b)  </w:t>
      </w:r>
      <w:r>
        <w:rPr>
          <w:sz w:val="21"/>
          <w:szCs w:val="21"/>
        </w:rPr>
        <w:t xml:space="preserve">Business Associate shall make PHI available for amendment and incorporate any amendments as directed by Covered Entity, in accordance with 45 CFR § 164.526.</w:t>
      </w:r>
    </w:p>
    <w:p>
      <w:pPr>
        <w:spacing w:after="120" w:line="276"/>
        <w:ind w:left="720" w:hanging="360"/>
      </w:pPr>
      <w:r>
        <w:rPr>
          <w:b/>
          <w:bCs/>
          <w:sz w:val="21"/>
          <w:szCs w:val="21"/>
        </w:rPr>
        <w:t xml:space="preserve">(c)  </w:t>
      </w:r>
      <w:r>
        <w:rPr>
          <w:sz w:val="21"/>
          <w:szCs w:val="21"/>
        </w:rPr>
        <w:t xml:space="preserve">Business Associate shall document and make available the information required for an accounting of disclosures under 45 CFR § 164.528.</w:t>
      </w:r>
    </w:p>
    <w:p>
      <w:pPr>
        <w:spacing w:after="120" w:line="276"/>
        <w:ind w:left="720" w:hanging="360"/>
      </w:pPr>
      <w:r>
        <w:rPr>
          <w:b/>
          <w:bCs/>
          <w:sz w:val="21"/>
          <w:szCs w:val="21"/>
        </w:rPr>
        <w:t xml:space="preserve">(d)  </w:t>
      </w:r>
      <w:r>
        <w:rPr>
          <w:sz w:val="21"/>
          <w:szCs w:val="21"/>
        </w:rPr>
        <w:t xml:space="preserve">To the extent Business Associate carries out an obligation of Covered Entity under Subpart E of 45 CFR Part 164, Business Associate shall comply with the requirements that apply to Covered Entity in the performance of that obligation.</w:t>
      </w:r>
    </w:p>
    <w:p>
      <w:pPr>
        <w:pStyle w:val="Heading1"/>
        <w:spacing w:after="180" w:before="320"/>
      </w:pPr>
      <w:r>
        <w:rPr>
          <w:b/>
          <w:bCs/>
          <w:color w:val="1B2A5E"/>
          <w:sz w:val="28"/>
          <w:szCs w:val="28"/>
        </w:rPr>
        <w:t xml:space="preserve">8.  Availability to the Secretary</w:t>
      </w:r>
    </w:p>
    <w:p>
      <w:pPr>
        <w:spacing w:after="160" w:line="276"/>
      </w:pPr>
      <w:r>
        <w:rPr>
          <w:color w:val="000000"/>
          <w:sz w:val="21"/>
          <w:szCs w:val="21"/>
        </w:rPr>
        <w:t xml:space="preserve">Business Associate shall make its internal practices, books, and records relating to the use and disclosure of PHI available to the Secretary of the U.S. Department of Health and Human Services for purposes of determining Covered Entity's compliance with HIPAA.</w:t>
      </w:r>
    </w:p>
    <w:p>
      <w:pPr>
        <w:pStyle w:val="Heading1"/>
        <w:spacing w:after="180" w:before="320"/>
      </w:pPr>
      <w:r>
        <w:rPr>
          <w:b/>
          <w:bCs/>
          <w:color w:val="1B2A5E"/>
          <w:sz w:val="28"/>
          <w:szCs w:val="28"/>
        </w:rPr>
        <w:t xml:space="preserve">9.  Obligations of Covered Entity</w:t>
      </w:r>
    </w:p>
    <w:p>
      <w:pPr>
        <w:spacing w:after="120" w:line="276"/>
        <w:ind w:left="720" w:hanging="360"/>
      </w:pPr>
      <w:r>
        <w:rPr>
          <w:b/>
          <w:bCs/>
          <w:sz w:val="21"/>
          <w:szCs w:val="21"/>
        </w:rPr>
        <w:t xml:space="preserve">(a)  </w:t>
      </w:r>
      <w:r>
        <w:rPr>
          <w:sz w:val="21"/>
          <w:szCs w:val="21"/>
        </w:rPr>
        <w:t xml:space="preserve">Covered Entity shall notify Business Associate of any limitation in its Notice of Privacy Practices, of any change in or revocation of an individual's permission to use or disclose PHI, and of any restriction on use or disclosure agreed to under 45 CFR § 164.522, to the extent any of these affect Business Associate's permitted uses or disclosures.</w:t>
      </w:r>
    </w:p>
    <w:p>
      <w:pPr>
        <w:spacing w:after="120" w:line="276"/>
        <w:ind w:left="720" w:hanging="360"/>
      </w:pPr>
      <w:r>
        <w:rPr>
          <w:b/>
          <w:bCs/>
          <w:sz w:val="21"/>
          <w:szCs w:val="21"/>
        </w:rPr>
        <w:t xml:space="preserve">(b)  </w:t>
      </w:r>
      <w:r>
        <w:rPr>
          <w:sz w:val="21"/>
          <w:szCs w:val="21"/>
        </w:rPr>
        <w:t xml:space="preserve">Covered Entity shall not request that Business Associate use or disclose PHI in any manner that would not be permissible under Subpart E of 45 CFR Part 164 if done by Covered Entity, except as permitted under Sections 3(b) and 3(c).</w:t>
      </w:r>
    </w:p>
    <w:p>
      <w:pPr>
        <w:spacing w:after="120" w:line="276"/>
        <w:ind w:left="720" w:hanging="360"/>
      </w:pPr>
      <w:r>
        <w:rPr>
          <w:b/>
          <w:bCs/>
          <w:sz w:val="21"/>
          <w:szCs w:val="21"/>
        </w:rPr>
        <w:t xml:space="preserve">(c)  </w:t>
      </w:r>
      <w:r>
        <w:rPr>
          <w:sz w:val="21"/>
          <w:szCs w:val="21"/>
        </w:rPr>
        <w:t xml:space="preserve">Covered Entity is responsible for the security and configuration of its own network, physical premises, and any systems not enrolled in the Services.</w:t>
      </w:r>
    </w:p>
    <w:p>
      <w:pPr>
        <w:pStyle w:val="Heading1"/>
        <w:spacing w:after="180" w:before="320"/>
      </w:pPr>
      <w:r>
        <w:rPr>
          <w:b/>
          <w:bCs/>
          <w:color w:val="1B2A5E"/>
          <w:sz w:val="28"/>
          <w:szCs w:val="28"/>
        </w:rPr>
        <w:t xml:space="preserve">10.  Term and Termination</w:t>
      </w:r>
    </w:p>
    <w:p>
      <w:pPr>
        <w:spacing w:after="120" w:line="276"/>
        <w:ind w:left="720" w:hanging="360"/>
      </w:pPr>
      <w:r>
        <w:rPr>
          <w:b/>
          <w:bCs/>
          <w:sz w:val="21"/>
          <w:szCs w:val="21"/>
        </w:rPr>
        <w:t xml:space="preserve">(a)  </w:t>
      </w:r>
      <w:r>
        <w:rPr>
          <w:sz w:val="21"/>
          <w:szCs w:val="21"/>
        </w:rPr>
        <w:t xml:space="preserve">Term. This Agreement takes effect on the Effective Date and continues until all PHI is returned or destroyed, or until terminated as provided below.</w:t>
      </w:r>
    </w:p>
    <w:p>
      <w:pPr>
        <w:spacing w:after="120" w:line="276"/>
        <w:ind w:left="720" w:hanging="360"/>
      </w:pPr>
      <w:r>
        <w:rPr>
          <w:b/>
          <w:bCs/>
          <w:sz w:val="21"/>
          <w:szCs w:val="21"/>
        </w:rPr>
        <w:t xml:space="preserve">(b)  </w:t>
      </w:r>
      <w:r>
        <w:rPr>
          <w:sz w:val="21"/>
          <w:szCs w:val="21"/>
        </w:rPr>
        <w:t xml:space="preserve">Termination for Cause. Covered Entity may terminate this Agreement and the Underlying Agreement if Business Associate materially breaches this Agreement and fails to cure within [THIRTY (30)] days of written notice. If cure is not possible, Covered Entity may terminate immediately.</w:t>
      </w:r>
    </w:p>
    <w:p>
      <w:pPr>
        <w:spacing w:after="120" w:line="276"/>
        <w:ind w:left="720" w:hanging="360"/>
      </w:pPr>
      <w:r>
        <w:rPr>
          <w:b/>
          <w:bCs/>
          <w:sz w:val="21"/>
          <w:szCs w:val="21"/>
        </w:rPr>
        <w:t xml:space="preserve">(c)  </w:t>
      </w:r>
      <w:r>
        <w:rPr>
          <w:sz w:val="21"/>
          <w:szCs w:val="21"/>
        </w:rPr>
        <w:t xml:space="preserve">Return or Destruction. On termination, Business Associate shall return or destroy all PHI it maintains in any form and retain no copies, and shall certify the same in writing within [THIRTY (30)] days. If return or destruction is infeasible, Business Associate shall extend the protections of this Agreement to that PHI and limit further uses and disclosures to the purposes that make return or destruction infeasible, for so long as it retains the PHI.</w:t>
      </w:r>
    </w:p>
    <w:p>
      <w:pPr>
        <w:spacing w:after="120" w:line="276"/>
        <w:ind w:left="720" w:hanging="360"/>
      </w:pPr>
      <w:r>
        <w:rPr>
          <w:b/>
          <w:bCs/>
          <w:sz w:val="21"/>
          <w:szCs w:val="21"/>
        </w:rPr>
        <w:t xml:space="preserve">(d)  </w:t>
      </w:r>
      <w:r>
        <w:rPr>
          <w:sz w:val="21"/>
          <w:szCs w:val="21"/>
        </w:rPr>
        <w:t xml:space="preserve">Survival. Sections 4, 5, 6, 8, and 10(c) survive termination.</w:t>
      </w:r>
    </w:p>
    <w:p>
      <w:pPr>
        <w:pStyle w:val="Heading1"/>
        <w:spacing w:after="180" w:before="320"/>
      </w:pPr>
      <w:r>
        <w:rPr>
          <w:b/>
          <w:bCs/>
          <w:color w:val="1B2A5E"/>
          <w:sz w:val="28"/>
          <w:szCs w:val="28"/>
        </w:rPr>
        <w:t xml:space="preserve">11.  Miscellaneous</w:t>
      </w:r>
    </w:p>
    <w:p>
      <w:pPr>
        <w:spacing w:after="120" w:line="276"/>
        <w:ind w:left="720" w:hanging="360"/>
      </w:pPr>
      <w:r>
        <w:rPr>
          <w:b/>
          <w:bCs/>
          <w:sz w:val="21"/>
          <w:szCs w:val="21"/>
        </w:rPr>
        <w:t xml:space="preserve">(a)  </w:t>
      </w:r>
      <w:r>
        <w:rPr>
          <w:sz w:val="21"/>
          <w:szCs w:val="21"/>
        </w:rPr>
        <w:t xml:space="preserve">Regulatory References. A reference to a section of HIPAA means the section as in effect or amended.</w:t>
      </w:r>
    </w:p>
    <w:p>
      <w:pPr>
        <w:spacing w:after="120" w:line="276"/>
        <w:ind w:left="720" w:hanging="360"/>
      </w:pPr>
      <w:r>
        <w:rPr>
          <w:b/>
          <w:bCs/>
          <w:sz w:val="21"/>
          <w:szCs w:val="21"/>
        </w:rPr>
        <w:t xml:space="preserve">(b)  </w:t>
      </w:r>
      <w:r>
        <w:rPr>
          <w:sz w:val="21"/>
          <w:szCs w:val="21"/>
        </w:rPr>
        <w:t xml:space="preserve">Amendment. The Parties shall amend this Agreement as necessary to comply with changes in HIPAA or other applicable law.</w:t>
      </w:r>
    </w:p>
    <w:p>
      <w:pPr>
        <w:spacing w:after="120" w:line="276"/>
        <w:ind w:left="720" w:hanging="360"/>
      </w:pPr>
      <w:r>
        <w:rPr>
          <w:b/>
          <w:bCs/>
          <w:sz w:val="21"/>
          <w:szCs w:val="21"/>
        </w:rPr>
        <w:t xml:space="preserve">(c)  </w:t>
      </w:r>
      <w:r>
        <w:rPr>
          <w:sz w:val="21"/>
          <w:szCs w:val="21"/>
        </w:rPr>
        <w:t xml:space="preserve">Interpretation. Ambiguities shall be resolved to permit compliance with HIPAA. This Agreement controls over any conflicting term of the Underlying Agreement with respect to PHI.</w:t>
      </w:r>
    </w:p>
    <w:p>
      <w:pPr>
        <w:spacing w:after="120" w:line="276"/>
        <w:ind w:left="720" w:hanging="360"/>
      </w:pPr>
      <w:r>
        <w:rPr>
          <w:b/>
          <w:bCs/>
          <w:sz w:val="21"/>
          <w:szCs w:val="21"/>
        </w:rPr>
        <w:t xml:space="preserve">(d)  </w:t>
      </w:r>
      <w:r>
        <w:rPr>
          <w:sz w:val="21"/>
          <w:szCs w:val="21"/>
        </w:rPr>
        <w:t xml:space="preserve">No Third-Party Beneficiaries. Nothing in this Agreement confers rights on any person other than the Parties.</w:t>
      </w:r>
    </w:p>
    <w:p>
      <w:pPr>
        <w:spacing w:after="120" w:line="276"/>
        <w:ind w:left="720" w:hanging="360"/>
      </w:pPr>
      <w:r>
        <w:rPr>
          <w:b/>
          <w:bCs/>
          <w:sz w:val="21"/>
          <w:szCs w:val="21"/>
        </w:rPr>
        <w:t xml:space="preserve">(e)  </w:t>
      </w:r>
      <w:r>
        <w:rPr>
          <w:sz w:val="21"/>
          <w:szCs w:val="21"/>
        </w:rPr>
        <w:t xml:space="preserve">Governing Law. This Agreement is governed by the laws of the State of [STATE], without regard to conflict-of-laws principles.</w:t>
      </w:r>
    </w:p>
    <w:p>
      <w:pPr>
        <w:spacing w:after="120" w:line="276"/>
        <w:ind w:left="720" w:hanging="360"/>
      </w:pPr>
      <w:r>
        <w:rPr>
          <w:b/>
          <w:bCs/>
          <w:sz w:val="21"/>
          <w:szCs w:val="21"/>
        </w:rPr>
        <w:t xml:space="preserve">(f)  </w:t>
      </w:r>
      <w:r>
        <w:rPr>
          <w:sz w:val="21"/>
          <w:szCs w:val="21"/>
        </w:rPr>
        <w:t xml:space="preserve">Insurance. [OPTIONAL — Business Associate shall maintain cyber liability and technology errors &amp; omissions coverage of not less than $[AMOUNT] per occurrence, and shall name Covered Entity as an additional insured / provide a certificate of insurance on request.]</w:t>
      </w:r>
    </w:p>
    <w:p>
      <w:pPr>
        <w:spacing w:after="120" w:line="276"/>
        <w:ind w:left="720" w:hanging="360"/>
      </w:pPr>
      <w:r>
        <w:rPr>
          <w:b/>
          <w:bCs/>
          <w:sz w:val="21"/>
          <w:szCs w:val="21"/>
        </w:rPr>
        <w:t xml:space="preserve">(g)  </w:t>
      </w:r>
      <w:r>
        <w:rPr>
          <w:sz w:val="21"/>
          <w:szCs w:val="21"/>
        </w:rPr>
        <w:t xml:space="preserve">Indemnification. [TO BE DRAFTED BY COUNSEL — allocation of liability for a Breach caused by Business Associate is one of the most heavily negotiated terms in a BAA and should not be adapted from a template.]</w:t>
      </w:r>
    </w:p>
    <w:p>
      <w:pPr>
        <w:spacing w:after="120" w:line="276"/>
        <w:ind w:left="720" w:hanging="360"/>
      </w:pPr>
      <w:r>
        <w:rPr>
          <w:b/>
          <w:bCs/>
          <w:sz w:val="21"/>
          <w:szCs w:val="21"/>
        </w:rPr>
        <w:t xml:space="preserve">(h)  </w:t>
      </w:r>
      <w:r>
        <w:rPr>
          <w:sz w:val="21"/>
          <w:szCs w:val="21"/>
        </w:rPr>
        <w:t xml:space="preserve">Entire Agreement. This Agreement, together with the Underlying Agreement, is the complete agreement of the Parties regarding PHI and supersedes prior understandings on that subject.</w:t>
      </w:r>
    </w:p>
    <w:p>
      <w:pPr>
        <w:pBdr>
          <w:bottom w:val="single" w:color="7B3FF2" w:sz="6"/>
        </w:pBdr>
        <w:spacing w:after="200" w:before="120"/>
      </w:pPr>
      <w:r>
        <w:rPr>
          <w:sz w:val="2"/>
          <w:szCs w:val="2"/>
        </w:rPr>
        <w:t xml:space="preserve"/>
      </w:r>
    </w:p>
    <w:p>
      <w:pPr>
        <w:spacing w:after="400" w:line="276"/>
      </w:pPr>
      <w:r>
        <w:rPr>
          <w:b/>
          <w:bCs/>
          <w:color w:val="000000"/>
          <w:sz w:val="21"/>
          <w:szCs w:val="21"/>
        </w:rPr>
        <w:t xml:space="preserve">IN WITNESS WHEREOF, the Parties have executed this Agreement as of the Effective Date.</w:t>
      </w:r>
    </w:p>
    <w:p>
      <w:pPr>
        <w:spacing w:after="260" w:line="276"/>
      </w:pPr>
      <w:r>
        <w:rPr>
          <w:b/>
          <w:bCs/>
          <w:color w:val="000000"/>
          <w:sz w:val="21"/>
          <w:szCs w:val="21"/>
        </w:rPr>
        <w:t xml:space="preserve">COVERED ENTITY — [CLIENT LEGAL NAME]</w:t>
      </w:r>
    </w:p>
    <w:p>
      <w:pPr>
        <w:spacing w:after="140" w:line="276"/>
      </w:pPr>
      <w:r>
        <w:rPr>
          <w:color w:val="000000"/>
          <w:sz w:val="21"/>
          <w:szCs w:val="21"/>
        </w:rPr>
        <w:t xml:space="preserve">By: ______________________________________________</w:t>
      </w:r>
    </w:p>
    <w:p>
      <w:pPr>
        <w:spacing w:after="140" w:line="276"/>
      </w:pPr>
      <w:r>
        <w:rPr>
          <w:color w:val="000000"/>
          <w:sz w:val="21"/>
          <w:szCs w:val="21"/>
        </w:rPr>
        <w:t xml:space="preserve">Name: ____________________________________________</w:t>
      </w:r>
    </w:p>
    <w:p>
      <w:pPr>
        <w:spacing w:after="140" w:line="276"/>
      </w:pPr>
      <w:r>
        <w:rPr>
          <w:color w:val="000000"/>
          <w:sz w:val="21"/>
          <w:szCs w:val="21"/>
        </w:rPr>
        <w:t xml:space="preserve">Title: ____________________________________________</w:t>
      </w:r>
    </w:p>
    <w:p>
      <w:pPr>
        <w:spacing w:after="320" w:line="276"/>
      </w:pPr>
      <w:r>
        <w:rPr>
          <w:color w:val="000000"/>
          <w:sz w:val="21"/>
          <w:szCs w:val="21"/>
        </w:rPr>
        <w:t xml:space="preserve">Date: ____________________________________________</w:t>
      </w:r>
    </w:p>
    <w:p>
      <w:pPr>
        <w:spacing w:after="260" w:line="276"/>
      </w:pPr>
      <w:r>
        <w:rPr>
          <w:b/>
          <w:bCs/>
          <w:color w:val="000000"/>
          <w:sz w:val="21"/>
          <w:szCs w:val="21"/>
        </w:rPr>
        <w:t xml:space="preserve">BUSINESS ASSOCIATE — ENDPOINT SHIELD SOLUTIONS</w:t>
      </w:r>
    </w:p>
    <w:p>
      <w:pPr>
        <w:spacing w:after="140" w:line="276"/>
      </w:pPr>
      <w:r>
        <w:rPr>
          <w:color w:val="000000"/>
          <w:sz w:val="21"/>
          <w:szCs w:val="21"/>
        </w:rPr>
        <w:t xml:space="preserve">By: ______________________________________________</w:t>
      </w:r>
    </w:p>
    <w:p>
      <w:pPr>
        <w:spacing w:after="140" w:line="276"/>
      </w:pPr>
      <w:r>
        <w:rPr>
          <w:color w:val="000000"/>
          <w:sz w:val="21"/>
          <w:szCs w:val="21"/>
        </w:rPr>
        <w:t xml:space="preserve">Name: ____________________________________________</w:t>
      </w:r>
    </w:p>
    <w:p>
      <w:pPr>
        <w:spacing w:after="140" w:line="276"/>
      </w:pPr>
      <w:r>
        <w:rPr>
          <w:color w:val="000000"/>
          <w:sz w:val="21"/>
          <w:szCs w:val="21"/>
        </w:rPr>
        <w:t xml:space="preserve">Title: ____________________________________________</w:t>
      </w:r>
    </w:p>
    <w:p>
      <w:pPr>
        <w:spacing w:after="320" w:line="276"/>
      </w:pPr>
      <w:r>
        <w:rPr>
          <w:color w:val="000000"/>
          <w:sz w:val="21"/>
          <w:szCs w:val="21"/>
        </w:rPr>
        <w:t xml:space="preserve">Date: ____________________________________________</w:t>
      </w:r>
    </w:p>
    <w:p>
      <w:r>
        <w:br w:type="page"/>
      </w:r>
    </w:p>
    <w:p>
      <w:pPr>
        <w:pStyle w:val="Heading1"/>
        <w:spacing w:after="180" w:before="320"/>
      </w:pPr>
      <w:r>
        <w:rPr>
          <w:b/>
          <w:bCs/>
          <w:color w:val="1B2A5E"/>
          <w:sz w:val="28"/>
          <w:szCs w:val="28"/>
        </w:rPr>
        <w:t xml:space="preserve">Schedule A — Pre-Signature Control Verification</w:t>
      </w:r>
    </w:p>
    <w:p>
      <w:pPr>
        <w:spacing w:after="160" w:line="276"/>
      </w:pPr>
      <w:r>
        <w:rPr>
          <w:color w:val="000000"/>
          <w:sz w:val="21"/>
          <w:szCs w:val="21"/>
        </w:rPr>
        <w:t xml:space="preserve">Internal use. Do not distribute to clients. Every item must be verifiably true before this Agreement is executed. An unchecked box is a contractual representation you cannot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rPr>
          <w:tblHeader/>
        </w:trPr>
        <w:tc>
          <w:tcPr>
            <w:tcW w:type="dxa" w:w="1000"/>
            <w:shd w:fill="1B2A5E" w:val="clear"/>
            <w:tcMar>
              <w:top w:type="dxa" w:w="100"/>
              <w:left w:type="dxa" w:w="120"/>
              <w:bottom w:type="dxa" w:w="100"/>
              <w:right w:type="dxa" w:w="120"/>
            </w:tcMar>
          </w:tcPr>
          <w:p>
            <w:r>
              <w:rPr>
                <w:b/>
                <w:bCs/>
                <w:color w:val="FFFFFF"/>
                <w:sz w:val="20"/>
                <w:szCs w:val="20"/>
              </w:rPr>
              <w:t xml:space="preserve">Verified</w:t>
            </w:r>
          </w:p>
        </w:tc>
        <w:tc>
          <w:tcPr>
            <w:tcW w:type="dxa" w:w="5360"/>
            <w:shd w:fill="1B2A5E" w:val="clear"/>
            <w:tcMar>
              <w:top w:type="dxa" w:w="100"/>
              <w:left w:type="dxa" w:w="120"/>
              <w:bottom w:type="dxa" w:w="100"/>
              <w:right w:type="dxa" w:w="120"/>
            </w:tcMar>
          </w:tcPr>
          <w:p>
            <w:r>
              <w:rPr>
                <w:b/>
                <w:bCs/>
                <w:color w:val="FFFFFF"/>
                <w:sz w:val="20"/>
                <w:szCs w:val="20"/>
              </w:rPr>
              <w:t xml:space="preserve">Control</w:t>
            </w:r>
          </w:p>
        </w:tc>
        <w:tc>
          <w:tcPr>
            <w:tcW w:type="dxa" w:w="3000"/>
            <w:shd w:fill="1B2A5E" w:val="clear"/>
            <w:tcMar>
              <w:top w:type="dxa" w:w="100"/>
              <w:left w:type="dxa" w:w="120"/>
              <w:bottom w:type="dxa" w:w="100"/>
              <w:right w:type="dxa" w:w="120"/>
            </w:tcMar>
          </w:tcPr>
          <w:p>
            <w:r>
              <w:rPr>
                <w:b/>
                <w:bCs/>
                <w:color w:val="FFFFFF"/>
                <w:sz w:val="20"/>
                <w:szCs w:val="20"/>
              </w:rPr>
              <w:t xml:space="preserve">Agreement reference</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Named user accounts, no shared credentials</w:t>
            </w:r>
          </w:p>
        </w:tc>
        <w:tc>
          <w:tcPr>
            <w:tcW w:type="dxa" w:w="3000"/>
            <w:tcMar>
              <w:top w:type="dxa" w:w="100"/>
              <w:left w:type="dxa" w:w="120"/>
              <w:bottom w:type="dxa" w:w="100"/>
              <w:right w:type="dxa" w:w="120"/>
            </w:tcMar>
          </w:tcPr>
          <w:p>
            <w:r>
              <w:rPr>
                <w:color w:val="555555"/>
                <w:sz w:val="20"/>
                <w:szCs w:val="20"/>
              </w:rPr>
              <w:t xml:space="preserve">§ 4.1</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bcrypt password hashing in production</w:t>
            </w:r>
          </w:p>
        </w:tc>
        <w:tc>
          <w:tcPr>
            <w:tcW w:type="dxa" w:w="3000"/>
            <w:tcMar>
              <w:top w:type="dxa" w:w="100"/>
              <w:left w:type="dxa" w:w="120"/>
              <w:bottom w:type="dxa" w:w="100"/>
              <w:right w:type="dxa" w:w="120"/>
            </w:tcMar>
          </w:tcPr>
          <w:p>
            <w:r>
              <w:rPr>
                <w:color w:val="555555"/>
                <w:sz w:val="20"/>
                <w:szCs w:val="20"/>
              </w:rPr>
              <w:t xml:space="preserve">§ 4.1</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Tenant scoping enforced on every data route</w:t>
            </w:r>
          </w:p>
        </w:tc>
        <w:tc>
          <w:tcPr>
            <w:tcW w:type="dxa" w:w="3000"/>
            <w:tcMar>
              <w:top w:type="dxa" w:w="100"/>
              <w:left w:type="dxa" w:w="120"/>
              <w:bottom w:type="dxa" w:w="100"/>
              <w:right w:type="dxa" w:w="120"/>
            </w:tcMar>
          </w:tcPr>
          <w:p>
            <w:r>
              <w:rPr>
                <w:color w:val="555555"/>
                <w:sz w:val="20"/>
                <w:szCs w:val="20"/>
              </w:rPr>
              <w:t xml:space="preserve">§ 4.1</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Multi-factor authentication enabled</w:t>
            </w:r>
          </w:p>
        </w:tc>
        <w:tc>
          <w:tcPr>
            <w:tcW w:type="dxa" w:w="3000"/>
            <w:tcMar>
              <w:top w:type="dxa" w:w="100"/>
              <w:left w:type="dxa" w:w="120"/>
              <w:bottom w:type="dxa" w:w="100"/>
              <w:right w:type="dxa" w:w="120"/>
            </w:tcMar>
          </w:tcPr>
          <w:p>
            <w:r>
              <w:rPr>
                <w:color w:val="555555"/>
                <w:sz w:val="20"/>
                <w:szCs w:val="20"/>
              </w:rPr>
              <w:t xml:space="preserve">§ 4.1</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Idle session timeout configured</w:t>
            </w:r>
          </w:p>
        </w:tc>
        <w:tc>
          <w:tcPr>
            <w:tcW w:type="dxa" w:w="3000"/>
            <w:tcMar>
              <w:top w:type="dxa" w:w="100"/>
              <w:left w:type="dxa" w:w="120"/>
              <w:bottom w:type="dxa" w:w="100"/>
              <w:right w:type="dxa" w:w="120"/>
            </w:tcMar>
          </w:tcPr>
          <w:p>
            <w:r>
              <w:rPr>
                <w:color w:val="555555"/>
                <w:sz w:val="20"/>
                <w:szCs w:val="20"/>
              </w:rPr>
              <w:t xml:space="preserve">§ 4.1</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TLS 1.2+ enforced end to end</w:t>
            </w:r>
          </w:p>
        </w:tc>
        <w:tc>
          <w:tcPr>
            <w:tcW w:type="dxa" w:w="3000"/>
            <w:tcMar>
              <w:top w:type="dxa" w:w="100"/>
              <w:left w:type="dxa" w:w="120"/>
              <w:bottom w:type="dxa" w:w="100"/>
              <w:right w:type="dxa" w:w="120"/>
            </w:tcMar>
          </w:tcPr>
          <w:p>
            <w:r>
              <w:rPr>
                <w:color w:val="555555"/>
                <w:sz w:val="20"/>
                <w:szCs w:val="20"/>
              </w:rPr>
              <w:t xml:space="preserve">§ 4.2</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Production JWT signing secret set (not the dev default)</w:t>
            </w:r>
          </w:p>
        </w:tc>
        <w:tc>
          <w:tcPr>
            <w:tcW w:type="dxa" w:w="3000"/>
            <w:tcMar>
              <w:top w:type="dxa" w:w="100"/>
              <w:left w:type="dxa" w:w="120"/>
              <w:bottom w:type="dxa" w:w="100"/>
              <w:right w:type="dxa" w:w="120"/>
            </w:tcMar>
          </w:tcPr>
          <w:p>
            <w:r>
              <w:rPr>
                <w:color w:val="555555"/>
                <w:sz w:val="20"/>
                <w:szCs w:val="20"/>
              </w:rPr>
              <w:t xml:space="preserve">§ 4.1</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Agent API key enforcement enabled</w:t>
            </w:r>
          </w:p>
        </w:tc>
        <w:tc>
          <w:tcPr>
            <w:tcW w:type="dxa" w:w="3000"/>
            <w:tcMar>
              <w:top w:type="dxa" w:w="100"/>
              <w:left w:type="dxa" w:w="120"/>
              <w:bottom w:type="dxa" w:w="100"/>
              <w:right w:type="dxa" w:w="120"/>
            </w:tcMar>
          </w:tcPr>
          <w:p>
            <w:r>
              <w:rPr>
                <w:color w:val="555555"/>
                <w:sz w:val="20"/>
                <w:szCs w:val="20"/>
              </w:rPr>
              <w:t xml:space="preserve">§ 4.2</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CORS restricted to the production dashboard origin</w:t>
            </w:r>
          </w:p>
        </w:tc>
        <w:tc>
          <w:tcPr>
            <w:tcW w:type="dxa" w:w="3000"/>
            <w:tcMar>
              <w:top w:type="dxa" w:w="100"/>
              <w:left w:type="dxa" w:w="120"/>
              <w:bottom w:type="dxa" w:w="100"/>
              <w:right w:type="dxa" w:w="120"/>
            </w:tcMar>
          </w:tcPr>
          <w:p>
            <w:r>
              <w:rPr>
                <w:color w:val="555555"/>
                <w:sz w:val="20"/>
                <w:szCs w:val="20"/>
              </w:rPr>
              <w:t xml:space="preserve">§ 4.2</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Encryption at rest implemented, or subsection struck</w:t>
            </w:r>
          </w:p>
        </w:tc>
        <w:tc>
          <w:tcPr>
            <w:tcW w:type="dxa" w:w="3000"/>
            <w:tcMar>
              <w:top w:type="dxa" w:w="100"/>
              <w:left w:type="dxa" w:w="120"/>
              <w:bottom w:type="dxa" w:w="100"/>
              <w:right w:type="dxa" w:w="120"/>
            </w:tcMar>
          </w:tcPr>
          <w:p>
            <w:r>
              <w:rPr>
                <w:color w:val="555555"/>
                <w:sz w:val="20"/>
                <w:szCs w:val="20"/>
              </w:rPr>
              <w:t xml:space="preserve">§ 4.3</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Audit logging of auth + all record changes</w:t>
            </w:r>
          </w:p>
        </w:tc>
        <w:tc>
          <w:tcPr>
            <w:tcW w:type="dxa" w:w="3000"/>
            <w:tcMar>
              <w:top w:type="dxa" w:w="100"/>
              <w:left w:type="dxa" w:w="120"/>
              <w:bottom w:type="dxa" w:w="100"/>
              <w:right w:type="dxa" w:w="120"/>
            </w:tcMar>
          </w:tcPr>
          <w:p>
            <w:r>
              <w:rPr>
                <w:color w:val="555555"/>
                <w:sz w:val="20"/>
                <w:szCs w:val="20"/>
              </w:rPr>
              <w:t xml:space="preserve">§ 4.4</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Six-year audit log retention</w:t>
            </w:r>
          </w:p>
        </w:tc>
        <w:tc>
          <w:tcPr>
            <w:tcW w:type="dxa" w:w="3000"/>
            <w:tcMar>
              <w:top w:type="dxa" w:w="100"/>
              <w:left w:type="dxa" w:w="120"/>
              <w:bottom w:type="dxa" w:w="100"/>
              <w:right w:type="dxa" w:w="120"/>
            </w:tcMar>
          </w:tcPr>
          <w:p>
            <w:r>
              <w:rPr>
                <w:color w:val="555555"/>
                <w:sz w:val="20"/>
                <w:szCs w:val="20"/>
              </w:rPr>
              <w:t xml:space="preserve">§ 4.4</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Written risk analysis completed</w:t>
            </w:r>
          </w:p>
        </w:tc>
        <w:tc>
          <w:tcPr>
            <w:tcW w:type="dxa" w:w="3000"/>
            <w:tcMar>
              <w:top w:type="dxa" w:w="100"/>
              <w:left w:type="dxa" w:w="120"/>
              <w:bottom w:type="dxa" w:w="100"/>
              <w:right w:type="dxa" w:w="120"/>
            </w:tcMar>
          </w:tcPr>
          <w:p>
            <w:r>
              <w:rPr>
                <w:color w:val="555555"/>
                <w:sz w:val="20"/>
                <w:szCs w:val="20"/>
              </w:rPr>
              <w:t xml:space="preserve">§ 4.5</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Workforce HIPAA training delivered and documented</w:t>
            </w:r>
          </w:p>
        </w:tc>
        <w:tc>
          <w:tcPr>
            <w:tcW w:type="dxa" w:w="3000"/>
            <w:tcMar>
              <w:top w:type="dxa" w:w="100"/>
              <w:left w:type="dxa" w:w="120"/>
              <w:bottom w:type="dxa" w:w="100"/>
              <w:right w:type="dxa" w:w="120"/>
            </w:tcMar>
          </w:tcPr>
          <w:p>
            <w:r>
              <w:rPr>
                <w:color w:val="555555"/>
                <w:sz w:val="20"/>
                <w:szCs w:val="20"/>
              </w:rPr>
              <w:t xml:space="preserve">§ 4.5</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Sanction policy written</w:t>
            </w:r>
          </w:p>
        </w:tc>
        <w:tc>
          <w:tcPr>
            <w:tcW w:type="dxa" w:w="3000"/>
            <w:tcMar>
              <w:top w:type="dxa" w:w="100"/>
              <w:left w:type="dxa" w:w="120"/>
              <w:bottom w:type="dxa" w:w="100"/>
              <w:right w:type="dxa" w:w="120"/>
            </w:tcMar>
          </w:tcPr>
          <w:p>
            <w:r>
              <w:rPr>
                <w:color w:val="555555"/>
                <w:sz w:val="20"/>
                <w:szCs w:val="20"/>
              </w:rPr>
              <w:t xml:space="preserve">§ 4.5</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Incident response and backup/DR plan written</w:t>
            </w:r>
          </w:p>
        </w:tc>
        <w:tc>
          <w:tcPr>
            <w:tcW w:type="dxa" w:w="3000"/>
            <w:tcMar>
              <w:top w:type="dxa" w:w="100"/>
              <w:left w:type="dxa" w:w="120"/>
              <w:bottom w:type="dxa" w:w="100"/>
              <w:right w:type="dxa" w:w="120"/>
            </w:tcMar>
          </w:tcPr>
          <w:p>
            <w:r>
              <w:rPr>
                <w:color w:val="555555"/>
                <w:sz w:val="20"/>
                <w:szCs w:val="20"/>
              </w:rPr>
              <w:t xml:space="preserve">§ 4.5</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Stated monitoring coverage matches actual staffing</w:t>
            </w:r>
          </w:p>
        </w:tc>
        <w:tc>
          <w:tcPr>
            <w:tcW w:type="dxa" w:w="3000"/>
            <w:tcMar>
              <w:top w:type="dxa" w:w="100"/>
              <w:left w:type="dxa" w:w="120"/>
              <w:bottom w:type="dxa" w:w="100"/>
              <w:right w:type="dxa" w:w="120"/>
            </w:tcMar>
          </w:tcPr>
          <w:p>
            <w:r>
              <w:rPr>
                <w:color w:val="555555"/>
                <w:sz w:val="20"/>
                <w:szCs w:val="20"/>
              </w:rPr>
              <w:t xml:space="preserve">§ 4.6</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Subcontractor BAAs executed (hosting, database)</w:t>
            </w:r>
          </w:p>
        </w:tc>
        <w:tc>
          <w:tcPr>
            <w:tcW w:type="dxa" w:w="3000"/>
            <w:tcMar>
              <w:top w:type="dxa" w:w="100"/>
              <w:left w:type="dxa" w:w="120"/>
              <w:bottom w:type="dxa" w:w="100"/>
              <w:right w:type="dxa" w:w="120"/>
            </w:tcMar>
          </w:tcPr>
          <w:p>
            <w:r>
              <w:rPr>
                <w:color w:val="555555"/>
                <w:sz w:val="20"/>
                <w:szCs w:val="20"/>
              </w:rPr>
              <w:t xml:space="preserve">§ 5</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Breach notification runbook written and tested</w:t>
            </w:r>
          </w:p>
        </w:tc>
        <w:tc>
          <w:tcPr>
            <w:tcW w:type="dxa" w:w="3000"/>
            <w:tcMar>
              <w:top w:type="dxa" w:w="100"/>
              <w:left w:type="dxa" w:w="120"/>
              <w:bottom w:type="dxa" w:w="100"/>
              <w:right w:type="dxa" w:w="120"/>
            </w:tcMar>
          </w:tcPr>
          <w:p>
            <w:r>
              <w:rPr>
                <w:color w:val="555555"/>
                <w:sz w:val="20"/>
                <w:szCs w:val="20"/>
              </w:rPr>
              <w:t xml:space="preserve">§ 6</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Cyber liability / tech E&amp;O policy bound</w:t>
            </w:r>
          </w:p>
        </w:tc>
        <w:tc>
          <w:tcPr>
            <w:tcW w:type="dxa" w:w="3000"/>
            <w:tcMar>
              <w:top w:type="dxa" w:w="100"/>
              <w:left w:type="dxa" w:w="120"/>
              <w:bottom w:type="dxa" w:w="100"/>
              <w:right w:type="dxa" w:w="120"/>
            </w:tcMar>
          </w:tcPr>
          <w:p>
            <w:r>
              <w:rPr>
                <w:color w:val="555555"/>
                <w:sz w:val="20"/>
                <w:szCs w:val="20"/>
              </w:rPr>
              <w:t xml:space="preserve">§ 11(f)</w:t>
            </w:r>
          </w:p>
        </w:tc>
      </w:tr>
      <w:tr>
        <w:tc>
          <w:tcPr>
            <w:tcW w:type="dxa" w:w="1000"/>
            <w:tcMar>
              <w:top w:type="dxa" w:w="100"/>
              <w:left w:type="dxa" w:w="120"/>
              <w:bottom w:type="dxa" w:w="100"/>
              <w:right w:type="dxa" w:w="120"/>
            </w:tcMar>
          </w:tcPr>
          <w:p>
            <w:pPr>
              <w:jc w:val="center"/>
            </w:pPr>
            <w:r>
              <w:rPr>
                <w:sz w:val="24"/>
                <w:szCs w:val="24"/>
              </w:rPr>
              <w:t xml:space="preserve">☐</w:t>
            </w:r>
          </w:p>
        </w:tc>
        <w:tc>
          <w:tcPr>
            <w:tcW w:type="dxa" w:w="5360"/>
            <w:tcMar>
              <w:top w:type="dxa" w:w="100"/>
              <w:left w:type="dxa" w:w="120"/>
              <w:bottom w:type="dxa" w:w="100"/>
              <w:right w:type="dxa" w:w="120"/>
            </w:tcMar>
          </w:tcPr>
          <w:p>
            <w:r>
              <w:rPr>
                <w:sz w:val="20"/>
                <w:szCs w:val="20"/>
              </w:rPr>
              <w:t xml:space="preserve">Reviewed by healthcare counsel</w:t>
            </w:r>
          </w:p>
        </w:tc>
        <w:tc>
          <w:tcPr>
            <w:tcW w:type="dxa" w:w="3000"/>
            <w:tcMar>
              <w:top w:type="dxa" w:w="100"/>
              <w:left w:type="dxa" w:w="120"/>
              <w:bottom w:type="dxa" w:w="100"/>
              <w:right w:type="dxa" w:w="120"/>
            </w:tcMar>
          </w:tcPr>
          <w:p>
            <w:r>
              <w:rPr>
                <w:color w:val="555555"/>
                <w:sz w:val="20"/>
                <w:szCs w:val="20"/>
              </w:rPr>
              <w:t xml:space="preserve">Whole document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Associate Agreement</dc:title>
  <dc:creator>Endpoint Shield Solutions</dc:creator>
  <cp:lastModifiedBy>Un-named</cp:lastModifiedBy>
  <cp:revision>1</cp:revision>
  <dcterms:created xsi:type="dcterms:W3CDTF">2026-09-07T00:08:17.737Z</dcterms:created>
  <dcterms:modified xsi:type="dcterms:W3CDTF">2026-09-07T00:08:17.752Z</dcterms:modified>
</cp:coreProperties>
</file>

<file path=docProps/custom.xml><?xml version="1.0" encoding="utf-8"?>
<Properties xmlns="http://schemas.openxmlformats.org/officeDocument/2006/custom-properties" xmlns:vt="http://schemas.openxmlformats.org/officeDocument/2006/docPropsVTypes"/>
</file>