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color w:val="7B3FF2"/>
          <w:sz w:val="56"/>
          <w:szCs w:val="56"/>
        </w:rPr>
        <w:t xml:space="preserve">◆</w:t>
      </w:r>
    </w:p>
    <w:p>
      <w:pPr>
        <w:spacing w:after="50"/>
        <w:jc w:val="center"/>
      </w:pPr>
      <w:r>
        <w:rPr>
          <w:b/>
          <w:bCs/>
          <w:color w:val="1B2A5E"/>
          <w:sz w:val="32"/>
          <w:szCs w:val="32"/>
        </w:rPr>
        <w:t xml:space="preserve">ENDPOINT SHIELD SOLUTIONS</w:t>
      </w:r>
    </w:p>
    <w:p>
      <w:pPr>
        <w:spacing w:after="460"/>
        <w:jc w:val="center"/>
      </w:pPr>
      <w:r>
        <w:rPr>
          <w:color w:val="555555"/>
          <w:sz w:val="20"/>
          <w:szCs w:val="20"/>
        </w:rPr>
        <w:t xml:space="preserve">Endpoint Security &amp; Compliance Monitoring</w:t>
      </w:r>
    </w:p>
    <w:p>
      <w:pPr>
        <w:spacing w:after="90"/>
        <w:jc w:val="center"/>
      </w:pPr>
      <w:r>
        <w:rPr>
          <w:b/>
          <w:bCs/>
          <w:color w:val="1B2A5E"/>
          <w:sz w:val="36"/>
          <w:szCs w:val="36"/>
        </w:rPr>
        <w:t xml:space="preserve">BUSINESS ASSOCIATE AGREEMENT</w:t>
      </w:r>
    </w:p>
    <w:p>
      <w:pPr>
        <w:spacing w:after="60"/>
        <w:jc w:val="center"/>
      </w:pPr>
      <w:r>
        <w:rPr>
          <w:color w:val="555555"/>
          <w:sz w:val="20"/>
          <w:szCs w:val="20"/>
        </w:rPr>
        <w:t xml:space="preserve">Pursuant to 45 CFR §§ 164.502(e) and 164.504(e)</w:t>
      </w:r>
    </w:p>
    <w:p>
      <w:pPr>
        <w:spacing w:after="420"/>
        <w:jc w:val="center"/>
      </w:pPr>
      <w:r>
        <w:rPr>
          <w:i/>
          <w:iCs/>
          <w:color w:val="7B3FF2"/>
          <w:sz w:val="23"/>
          <w:szCs w:val="23"/>
        </w:rPr>
        <w:t xml:space="preserve">The "Shield Guardian"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70"/>
              <w:left w:type="dxa" w:w="210"/>
              <w:bottom w:type="dxa" w:w="170"/>
              <w:right w:type="dxa" w:w="210"/>
            </w:tcMar>
          </w:tcPr>
          <w:p>
            <w:pPr>
              <w:spacing w:after="110"/>
            </w:pPr>
            <w:r>
              <w:rPr>
                <w:b/>
                <w:bCs/>
                <w:color w:val="8A4B00"/>
                <w:sz w:val="21"/>
                <w:szCs w:val="21"/>
              </w:rPr>
              <w:t xml:space="preserve">TEMPLATE — NOT LEGAL ADVICE. ATTORNEY REVIEW REQUIRED BEFORE USE.</w:t>
            </w:r>
          </w:p>
          <w:p>
            <w:pPr>
              <w:spacing w:after="90" w:line="276"/>
            </w:pPr>
            <w:r>
              <w:rPr>
                <w:color w:val="5C3200"/>
                <w:sz w:val="20"/>
                <w:szCs w:val="20"/>
              </w:rPr>
              <w:t xml:space="preserve">This is a drafting instrument prepared for Endpoint Shield Solutions. It has not been reviewed by an attorney, it is not legal advice, and no attorney-client relationship arises from it. Have a healthcare attorney licensed in your state review and adapt it before it is offered to any client.</w:t>
            </w:r>
          </w:p>
          <w:p>
            <w:pPr>
              <w:spacing w:after="90" w:line="276"/>
            </w:pPr>
            <w:r>
              <w:rPr>
                <w:color w:val="5C3200"/>
                <w:sz w:val="20"/>
                <w:szCs w:val="20"/>
              </w:rPr>
              <w:t xml:space="preserve">No BAA is "airtight." A BAA allocates risk; it does not create security. Its protective value is exactly equal to the controls that actually operate behind it. A well-drafted agreement describing safeguards you do not run increases your liability rather than reducing it, because it converts a security gap into a documented contractual misrepresentation.</w:t>
            </w:r>
          </w:p>
          <w:p>
            <w:pPr>
              <w:spacing w:after="90" w:line="276"/>
            </w:pPr>
            <w:r>
              <w:rPr>
                <w:color w:val="5C3200"/>
                <w:sz w:val="20"/>
                <w:szCs w:val="20"/>
              </w:rPr>
              <w:t xml:space="preserve">Section 2 and Schedule B contain representations about safeguards and service coverage. Items marked [VERIFY] are not implemented in the Endpoint Shield Solutions platform as of the preparation date of this template. Complete Schedule A before executing this Agreement with any client.</w:t>
            </w:r>
          </w:p>
        </w:tc>
      </w:tr>
    </w:tbl>
    <w:p>
      <w:r>
        <w:br w:type="page"/>
      </w:r>
    </w:p>
    <w:p>
      <w:pPr>
        <w:pStyle w:val="Heading1"/>
        <w:spacing w:after="160" w:before="340"/>
      </w:pPr>
      <w:r>
        <w:rPr>
          <w:b/>
          <w:bCs/>
          <w:color w:val="1B2A5E"/>
          <w:sz w:val="26"/>
          <w:szCs w:val="26"/>
        </w:rPr>
        <w:t xml:space="preserve">Business Associate Agreement</w:t>
      </w:r>
    </w:p>
    <w:p>
      <w:pPr>
        <w:spacing w:after="150" w:line="276"/>
      </w:pPr>
      <w:r>
        <w:rPr>
          <w:color w:val="000000"/>
          <w:sz w:val="21"/>
          <w:szCs w:val="21"/>
        </w:rPr>
        <w:t xml:space="preserve">This Business Associate Agreement (this "Agreement") is made and entered into as of ____________________ (the "Effective Date") by and between:</w:t>
      </w:r>
    </w:p>
    <w:p>
      <w:pPr>
        <w:spacing w:after="150" w:line="276"/>
        <w:ind w:left="720"/>
      </w:pPr>
      <w:r>
        <w:rPr>
          <w:color w:val="000000"/>
          <w:sz w:val="21"/>
          <w:szCs w:val="21"/>
        </w:rPr>
        <w:t xml:space="preserve">[CLIENT LEGAL NAME], a [STATE] [ENTITY TYPE] with its principal place of business at [CLIENT ADDRESS] ("Covered Entity"); and</w:t>
      </w:r>
    </w:p>
    <w:p>
      <w:pPr>
        <w:spacing w:after="150" w:line="276"/>
        <w:ind w:left="720"/>
      </w:pPr>
      <w:r>
        <w:rPr>
          <w:color w:val="000000"/>
          <w:sz w:val="21"/>
          <w:szCs w:val="21"/>
        </w:rPr>
        <w:t xml:space="preserve">Endpoint Shield Solutions, a [STATE] [ENTITY TYPE] with its principal place of business at [YOUR ADDRESS] ("Business Associate").</w:t>
      </w:r>
    </w:p>
    <w:p>
      <w:pPr>
        <w:spacing w:after="150" w:line="276"/>
      </w:pPr>
      <w:r>
        <w:rPr>
          <w:color w:val="000000"/>
          <w:sz w:val="21"/>
          <w:szCs w:val="21"/>
        </w:rPr>
        <w:t xml:space="preserve">Covered Entity and Business Associate are referred to individually as a "Party" and collectively as the "Parties."</w:t>
      </w:r>
    </w:p>
    <w:p>
      <w:pPr>
        <w:spacing w:after="110" w:line="276"/>
      </w:pPr>
      <w:r>
        <w:rPr>
          <w:b/>
          <w:bCs/>
          <w:color w:val="000000"/>
          <w:sz w:val="21"/>
          <w:szCs w:val="21"/>
        </w:rPr>
        <w:t xml:space="preserve">RECITALS</w:t>
      </w:r>
    </w:p>
    <w:p>
      <w:pPr>
        <w:spacing w:after="150" w:line="276"/>
      </w:pPr>
      <w:r>
        <w:rPr>
          <w:color w:val="000000"/>
          <w:sz w:val="21"/>
          <w:szCs w:val="21"/>
        </w:rPr>
        <w:t xml:space="preserve">WHEREAS, Covered Entity is a health care provider subject to the Administrative Simplification provisions of the Health Insurance Portability and Accountability Act of 1996, Public Law 104-191, and the regulations promulgated thereunder at 45 CFR Parts 160 and 164, as amended by the Health Information Technology for Economic and Clinical Health Act, Title XIII of Public Law 111-5 (collectively, "HIPAA");</w:t>
      </w:r>
    </w:p>
    <w:p>
      <w:pPr>
        <w:spacing w:after="150" w:line="276"/>
      </w:pPr>
      <w:r>
        <w:rPr>
          <w:color w:val="000000"/>
          <w:sz w:val="21"/>
          <w:szCs w:val="21"/>
        </w:rPr>
        <w:t xml:space="preserve">WHEREAS, Business Associate provides endpoint monitoring, antivirus orchestration, device inventory, and related managed information technology services to Covered Entity pursuant to a separate written services agreement between the Parties (the "Underlying Agreement");</w:t>
      </w:r>
    </w:p>
    <w:p>
      <w:pPr>
        <w:spacing w:after="150" w:line="276"/>
      </w:pPr>
      <w:r>
        <w:rPr>
          <w:color w:val="000000"/>
          <w:sz w:val="21"/>
          <w:szCs w:val="21"/>
        </w:rPr>
        <w:t xml:space="preserve">WHEREAS, in the performance of those services Business Associate may create, receive, maintain, or transmit Protected Health Information on behalf of Covered Entity, and is therefore a "business associate" as defined at 45 CFR § 160.103;</w:t>
      </w:r>
    </w:p>
    <w:p>
      <w:pPr>
        <w:spacing w:after="150" w:line="276"/>
      </w:pPr>
      <w:r>
        <w:rPr>
          <w:color w:val="000000"/>
          <w:sz w:val="21"/>
          <w:szCs w:val="21"/>
        </w:rPr>
        <w:t xml:space="preserve">NOW, THEREFORE, in consideration of the mutual covenants set forth herein and the continued exchange of information under the Underlying Agreement, the Parties agree as follows:</w:t>
      </w:r>
    </w:p>
    <w:p>
      <w:pPr>
        <w:pBdr>
          <w:bottom w:val="single" w:color="7B3FF2" w:sz="6"/>
        </w:pBdr>
        <w:spacing w:after="200" w:before="140"/>
      </w:pPr>
      <w:r>
        <w:rPr>
          <w:sz w:val="2"/>
          <w:szCs w:val="2"/>
        </w:rPr>
        <w:t xml:space="preserve"/>
      </w:r>
    </w:p>
    <w:p>
      <w:pPr>
        <w:pStyle w:val="Heading1"/>
        <w:spacing w:after="160" w:before="340"/>
      </w:pPr>
      <w:r>
        <w:rPr>
          <w:b/>
          <w:bCs/>
          <w:color w:val="1B2A5E"/>
          <w:sz w:val="26"/>
          <w:szCs w:val="26"/>
        </w:rPr>
        <w:t xml:space="preserve">1.  Definitions</w:t>
      </w:r>
    </w:p>
    <w:p>
      <w:pPr>
        <w:spacing w:after="150" w:line="276"/>
      </w:pPr>
      <w:r>
        <w:rPr>
          <w:color w:val="000000"/>
          <w:sz w:val="21"/>
          <w:szCs w:val="21"/>
        </w:rPr>
        <w:t xml:space="preserve">Capitalized terms used but not otherwise defined in this Agreement have the meanings ascribed to them in 45 CFR Parts 160 and 164. The following terms have the meanings set forth below.</w:t>
      </w:r>
    </w:p>
    <w:p>
      <w:pPr>
        <w:spacing w:after="130" w:line="276"/>
        <w:ind w:left="720" w:hanging="720"/>
      </w:pPr>
      <w:r>
        <w:rPr>
          <w:b/>
          <w:bCs/>
          <w:sz w:val="21"/>
          <w:szCs w:val="21"/>
        </w:rPr>
        <w:t xml:space="preserve">1.1	</w:t>
      </w:r>
      <w:r>
        <w:rPr>
          <w:sz w:val="21"/>
          <w:szCs w:val="21"/>
        </w:rPr>
        <w:t xml:space="preserve">"Protected Health Information" or "PHI" means individually identifiable health information, as defined at 45 CFR § 160.103, that is transmitted by or maintained in any form or medium, and that Business Associate creates, receives, maintains, or transmits for or on behalf of Covered Entity. Individually identifiable health information is information, including demographic information, that is created or received by a health care provider, health plan, employer, or health care clearinghouse; relates to the past, present, or future physical or mental health or condition of an individual, the provision of health care to an individual, or the past, present, or future payment for the provision of health care to an individual; and either identifies the individual or with respect to which there is a reasonable basis to believe the information can be used to identify the individual. PHI excludes individually identifiable health information in education records covered by the Family Educational Rights and Privacy Act, records described at 20 U.S.C. § 1232g(a)(4)(B)(iv), employment records held by a covered entity in its role as employer, and information regarding a person who has been deceased for more than fifty (50) years.</w:t>
      </w:r>
    </w:p>
    <w:p>
      <w:pPr>
        <w:spacing w:after="130" w:line="276"/>
        <w:ind w:left="720" w:hanging="720"/>
      </w:pPr>
      <w:r>
        <w:rPr>
          <w:b/>
          <w:bCs/>
          <w:sz w:val="21"/>
          <w:szCs w:val="21"/>
        </w:rPr>
        <w:t xml:space="preserve">1.2	</w:t>
      </w:r>
      <w:r>
        <w:rPr>
          <w:sz w:val="21"/>
          <w:szCs w:val="21"/>
        </w:rPr>
        <w:t xml:space="preserve">"Electronic Protected Health Information" or "ePHI" means PHI that is transmitted by or maintained in electronic media, as defined at 45 CFR § 160.103. All PHI to which Business Associate may have access in the performance of the Services is anticipated to be ePHI.</w:t>
      </w:r>
    </w:p>
    <w:p>
      <w:pPr>
        <w:spacing w:after="130" w:line="276"/>
        <w:ind w:left="720" w:hanging="720"/>
      </w:pPr>
      <w:r>
        <w:rPr>
          <w:b/>
          <w:bCs/>
          <w:sz w:val="21"/>
          <w:szCs w:val="21"/>
        </w:rPr>
        <w:t xml:space="preserve">1.3	</w:t>
      </w:r>
      <w:r>
        <w:rPr>
          <w:sz w:val="21"/>
          <w:szCs w:val="21"/>
        </w:rPr>
        <w:t xml:space="preserve">"Breach" means the acquisition, access, use, or disclosure of PHI in a manner not permitted under Subpart E of 45 CFR Part 164 which compromises the security or privacy of the PHI, as defined at 45 CFR § 164.402. An acquisition, access, use, or disclosure of PHI in a manner not permitted under Subpart E is presumed to be a Breach unless Business Associate demonstrates that there is a low probability that the PHI has been compromised, based on a risk assessment addressing, at minimum: (a) the nature and extent of the PHI involved, including the types of identifiers and the likelihood of re-identification; (b) the unauthorized person who used the PHI or to whom the disclosure was made; (c) whether the PHI was actually acquired or viewed; and (d) the extent to which the risk to the PHI has been mitigated. "Breach" excludes the three categories of unintentional or inadvertent conduct enumerated at 45 CFR § 164.402(1).</w:t>
      </w:r>
    </w:p>
    <w:p>
      <w:pPr>
        <w:spacing w:after="130" w:line="276"/>
        <w:ind w:left="720" w:hanging="720"/>
      </w:pPr>
      <w:r>
        <w:rPr>
          <w:b/>
          <w:bCs/>
          <w:sz w:val="21"/>
          <w:szCs w:val="21"/>
        </w:rPr>
        <w:t xml:space="preserve">1.4	</w:t>
      </w:r>
      <w:r>
        <w:rPr>
          <w:sz w:val="21"/>
          <w:szCs w:val="21"/>
        </w:rPr>
        <w:t xml:space="preserve">"Unsecured PHI" means PHI that is not rendered unusable, unreadable, or indecipherable to unauthorized persons through the use of a technology or methodology specified by the Secretary in guidance issued under section 13402(h)(2) of Public Law 111-5.</w:t>
      </w:r>
    </w:p>
    <w:p>
      <w:pPr>
        <w:spacing w:after="130" w:line="276"/>
        <w:ind w:left="720" w:hanging="720"/>
      </w:pPr>
      <w:r>
        <w:rPr>
          <w:b/>
          <w:bCs/>
          <w:sz w:val="21"/>
          <w:szCs w:val="21"/>
        </w:rPr>
        <w:t xml:space="preserve">1.5	</w:t>
      </w:r>
      <w:r>
        <w:rPr>
          <w:sz w:val="21"/>
          <w:szCs w:val="21"/>
        </w:rPr>
        <w:t xml:space="preserve">"Security Incident" means the attempted or successful unauthorized access, use, disclosure, modification, or destruction of information, or interference with system operations in an information system, as defined at 45 CFR § 164.304.</w:t>
      </w:r>
    </w:p>
    <w:p>
      <w:pPr>
        <w:spacing w:after="130" w:line="276"/>
        <w:ind w:left="720" w:hanging="720"/>
      </w:pPr>
      <w:r>
        <w:rPr>
          <w:b/>
          <w:bCs/>
          <w:sz w:val="21"/>
          <w:szCs w:val="21"/>
        </w:rPr>
        <w:t xml:space="preserve">1.6	</w:t>
      </w:r>
      <w:r>
        <w:rPr>
          <w:sz w:val="21"/>
          <w:szCs w:val="21"/>
        </w:rPr>
        <w:t xml:space="preserve">"Discovery" of a Breach or Security Incident occurs as of the first day on which it is known to Business Associate, or by exercising reasonable diligence would have been known to Business Associate. Business Associate is deemed to have knowledge of a Breach if the Breach is known, or by exercising reasonable diligence would have been known, to any person other than the individual committing the Breach who is a workforce member or agent of Business Associate, determined in accordance with the federal common law of agency.</w:t>
      </w:r>
    </w:p>
    <w:p>
      <w:pPr>
        <w:spacing w:after="130" w:line="276"/>
        <w:ind w:left="720" w:hanging="720"/>
      </w:pPr>
      <w:r>
        <w:rPr>
          <w:b/>
          <w:bCs/>
          <w:sz w:val="21"/>
          <w:szCs w:val="21"/>
        </w:rPr>
        <w:t xml:space="preserve">1.7	</w:t>
      </w:r>
      <w:r>
        <w:rPr>
          <w:sz w:val="21"/>
          <w:szCs w:val="21"/>
        </w:rPr>
        <w:t xml:space="preserve">"Subcontractor" means a person or entity to whom Business Associate delegates a function, activity, or service, other than in the capacity of a member of Business Associate's workforce, and who creates, receives, maintains, or transmits PHI on behalf of Business Associate.</w:t>
      </w:r>
    </w:p>
    <w:p>
      <w:pPr>
        <w:spacing w:after="130" w:line="276"/>
        <w:ind w:left="720" w:hanging="720"/>
      </w:pPr>
      <w:r>
        <w:rPr>
          <w:b/>
          <w:bCs/>
          <w:sz w:val="21"/>
          <w:szCs w:val="21"/>
        </w:rPr>
        <w:t xml:space="preserve">1.8	</w:t>
      </w:r>
      <w:r>
        <w:rPr>
          <w:sz w:val="21"/>
          <w:szCs w:val="21"/>
        </w:rPr>
        <w:t xml:space="preserve">"Services" means the endpoint monitoring, antivirus orchestration, device inventory, and managed information technology services provided by Business Associate to Covered Entity under the Underlying Agreement, as further specified in Schedule B.</w:t>
      </w:r>
    </w:p>
    <w:p>
      <w:pPr>
        <w:spacing w:after="130" w:line="276"/>
        <w:ind w:left="720" w:hanging="720"/>
      </w:pPr>
      <w:r>
        <w:rPr>
          <w:b/>
          <w:bCs/>
          <w:sz w:val="21"/>
          <w:szCs w:val="21"/>
        </w:rPr>
        <w:t xml:space="preserve">1.9	</w:t>
      </w:r>
      <w:r>
        <w:rPr>
          <w:sz w:val="21"/>
          <w:szCs w:val="21"/>
        </w:rPr>
        <w:t xml:space="preserve">"Secretary" means the Secretary of the United States Department of Health and Human Services or their designee, including the Office for Civil Rights ("OCR").</w:t>
      </w:r>
    </w:p>
    <w:p>
      <w:pPr>
        <w:spacing w:after="130" w:line="276"/>
        <w:ind w:left="720" w:hanging="720"/>
      </w:pPr>
      <w:r>
        <w:rPr>
          <w:b/>
          <w:bCs/>
          <w:sz w:val="21"/>
          <w:szCs w:val="21"/>
        </w:rPr>
        <w:t xml:space="preserve">1.10	</w:t>
      </w:r>
      <w:r>
        <w:rPr>
          <w:sz w:val="21"/>
          <w:szCs w:val="21"/>
        </w:rPr>
        <w:t xml:space="preserve">"Designated Record Set" has the meaning given at 45 CFR § 164.501.</w:t>
      </w:r>
    </w:p>
    <w:p>
      <w:pPr>
        <w:pStyle w:val="Heading1"/>
        <w:spacing w:after="160" w:before="340"/>
      </w:pPr>
      <w:r>
        <w:rPr>
          <w:b/>
          <w:bCs/>
          <w:color w:val="1B2A5E"/>
          <w:sz w:val="26"/>
          <w:szCs w:val="26"/>
        </w:rPr>
        <w:t xml:space="preserve">2.  Obligations of Business Associate</w:t>
      </w:r>
    </w:p>
    <w:p>
      <w:pPr>
        <w:pStyle w:val="Heading2"/>
        <w:spacing w:after="110" w:before="230"/>
      </w:pPr>
      <w:r>
        <w:rPr>
          <w:b/>
          <w:bCs/>
          <w:color w:val="1B2A5E"/>
          <w:sz w:val="22"/>
          <w:szCs w:val="22"/>
        </w:rPr>
        <w:t xml:space="preserve">2.1  General Compliance</w:t>
      </w:r>
    </w:p>
    <w:p>
      <w:pPr>
        <w:spacing w:after="150" w:line="276"/>
      </w:pPr>
      <w:r>
        <w:rPr>
          <w:color w:val="000000"/>
          <w:sz w:val="21"/>
          <w:szCs w:val="21"/>
        </w:rPr>
        <w:t xml:space="preserve">Business Associate shall comply with all provisions of Subpart C of 45 CFR Part 164 (the Security Rule) with respect to ePHI, and with those provisions of Subpart E (the Privacy Rule) that apply to Business Associate under 45 CFR § 164.504(e). Business Associate acknowledges that, as a business associate, it is directly liable under HIPAA and the HITECH Act for compliance with these requirements and subject to civil and criminal penalties for their violation.</w:t>
      </w:r>
    </w:p>
    <w:p>
      <w:pPr>
        <w:pStyle w:val="Heading2"/>
        <w:spacing w:after="110" w:before="230"/>
      </w:pPr>
      <w:r>
        <w:rPr>
          <w:b/>
          <w:bCs/>
          <w:color w:val="1B2A5E"/>
          <w:sz w:val="22"/>
          <w:szCs w:val="22"/>
        </w:rPr>
        <w:t xml:space="preserve">2.2  Safeguards</w:t>
      </w:r>
    </w:p>
    <w:p>
      <w:pPr>
        <w:spacing w:after="150" w:line="276"/>
      </w:pPr>
      <w:r>
        <w:rPr>
          <w:color w:val="000000"/>
          <w:sz w:val="21"/>
          <w:szCs w:val="21"/>
        </w:rPr>
        <w:t xml:space="preserve">Business Associate shall implement and maintain administrative, physical, and technical safeguards that reasonably and appropriately protect the confidentiality, integrity, and availability of the ePHI that it creates, receives, maintains, or transmits on behalf of Covered Entity, and shall prevent the use or disclosure of PHI other than as permitted by this Agreement. Business Associate represents that, as of the Effective Date, it maintains the safeguards set forth in this Section 2.2 and in Schedule B.</w:t>
      </w:r>
    </w:p>
    <w:p>
      <w:pPr>
        <w:spacing w:after="90" w:line="276"/>
        <w:ind w:left="720"/>
      </w:pPr>
      <w:r>
        <w:rPr>
          <w:b/>
          <w:bCs/>
          <w:color w:val="000000"/>
          <w:sz w:val="21"/>
          <w:szCs w:val="21"/>
        </w:rPr>
        <w:t xml:space="preserve">(a)  Administrative Safeguards (45 CFR § 164.308)</w:t>
      </w:r>
    </w:p>
    <w:p>
      <w:pPr>
        <w:pStyle w:val="ListParagraph"/>
        <w:numPr>
          <w:ilvl w:val="0"/>
          <w:numId w:val="1"/>
        </w:numPr>
        <w:spacing w:after="90" w:line="276"/>
        <w:ind w:left="1080"/>
      </w:pPr>
      <w:r>
        <w:rPr>
          <w:sz w:val="21"/>
          <w:szCs w:val="21"/>
        </w:rPr>
        <w:t xml:space="preserve">[VERIFY] A written security risk analysis assessing the potential risks and vulnerabilities to the confidentiality, integrity, and availability of ePHI, reviewed and updated not less than annually.</w:t>
      </w:r>
    </w:p>
    <w:p>
      <w:pPr>
        <w:pStyle w:val="ListParagraph"/>
        <w:numPr>
          <w:ilvl w:val="0"/>
          <w:numId w:val="1"/>
        </w:numPr>
        <w:spacing w:after="90" w:line="276"/>
        <w:ind w:left="1080"/>
      </w:pPr>
      <w:r>
        <w:rPr>
          <w:sz w:val="21"/>
          <w:szCs w:val="21"/>
        </w:rPr>
        <w:t xml:space="preserve">[VERIFY] A designated security official responsible for the development and implementation of Business Associate's security policies and procedures.</w:t>
      </w:r>
    </w:p>
    <w:p>
      <w:pPr>
        <w:pStyle w:val="ListParagraph"/>
        <w:numPr>
          <w:ilvl w:val="0"/>
          <w:numId w:val="1"/>
        </w:numPr>
        <w:spacing w:after="90" w:line="276"/>
        <w:ind w:left="1080"/>
      </w:pPr>
      <w:r>
        <w:rPr>
          <w:sz w:val="21"/>
          <w:szCs w:val="21"/>
        </w:rPr>
        <w:t xml:space="preserve">[VERIFY] Documented workforce security awareness and HIPAA training, delivered at onboarding and not less than annually thereafter, with records of completion retained.</w:t>
      </w:r>
    </w:p>
    <w:p>
      <w:pPr>
        <w:pStyle w:val="ListParagraph"/>
        <w:numPr>
          <w:ilvl w:val="0"/>
          <w:numId w:val="1"/>
        </w:numPr>
        <w:spacing w:after="90" w:line="276"/>
        <w:ind w:left="1080"/>
      </w:pPr>
      <w:r>
        <w:rPr>
          <w:sz w:val="21"/>
          <w:szCs w:val="21"/>
        </w:rPr>
        <w:t xml:space="preserve">[VERIFY] A written sanction policy applied to workforce members who fail to comply with Business Associate's security policies and procedures.</w:t>
      </w:r>
    </w:p>
    <w:p>
      <w:pPr>
        <w:pStyle w:val="ListParagraph"/>
        <w:numPr>
          <w:ilvl w:val="0"/>
          <w:numId w:val="1"/>
        </w:numPr>
        <w:spacing w:after="90" w:line="276"/>
        <w:ind w:left="1080"/>
      </w:pPr>
      <w:r>
        <w:rPr>
          <w:sz w:val="21"/>
          <w:szCs w:val="21"/>
        </w:rPr>
        <w:t xml:space="preserve">[VERIFY] Written incident response, data backup, disaster recovery, and emergency mode operation plans, tested not less than annually.</w:t>
      </w:r>
    </w:p>
    <w:p>
      <w:pPr>
        <w:pStyle w:val="ListParagraph"/>
        <w:numPr>
          <w:ilvl w:val="0"/>
          <w:numId w:val="1"/>
        </w:numPr>
        <w:spacing w:after="90" w:line="276"/>
        <w:ind w:left="1080"/>
      </w:pPr>
      <w:r>
        <w:rPr>
          <w:sz w:val="21"/>
          <w:szCs w:val="21"/>
        </w:rPr>
        <w:t xml:space="preserve">Workforce access authorization and termination procedures ensuring that access is granted only as necessary to perform the Services and revoked promptly upon separation or role change.</w:t>
      </w:r>
    </w:p>
    <w:p>
      <w:pPr>
        <w:spacing w:after="90" w:line="276"/>
        <w:ind w:left="720"/>
      </w:pPr>
      <w:r>
        <w:rPr>
          <w:b/>
          <w:bCs/>
          <w:color w:val="000000"/>
          <w:sz w:val="21"/>
          <w:szCs w:val="21"/>
        </w:rPr>
        <w:t xml:space="preserve">(b)  Physical Safeguards (45 CFR § 164.310)</w:t>
      </w:r>
    </w:p>
    <w:p>
      <w:pPr>
        <w:pStyle w:val="ListParagraph"/>
        <w:numPr>
          <w:ilvl w:val="0"/>
          <w:numId w:val="1"/>
        </w:numPr>
        <w:spacing w:after="90" w:line="276"/>
        <w:ind w:left="1080"/>
      </w:pPr>
      <w:r>
        <w:rPr>
          <w:sz w:val="21"/>
          <w:szCs w:val="21"/>
        </w:rPr>
        <w:t xml:space="preserve">[VERIFY] Facility access controls and workstation security measures governing Business Associate's own premises and equipment.</w:t>
      </w:r>
    </w:p>
    <w:p>
      <w:pPr>
        <w:pStyle w:val="ListParagraph"/>
        <w:numPr>
          <w:ilvl w:val="0"/>
          <w:numId w:val="1"/>
        </w:numPr>
        <w:spacing w:after="90" w:line="276"/>
        <w:ind w:left="1080"/>
      </w:pPr>
      <w:r>
        <w:rPr>
          <w:sz w:val="21"/>
          <w:szCs w:val="21"/>
        </w:rPr>
        <w:t xml:space="preserve">[VERIFY] Device and media controls governing the receipt, removal, reuse, and disposal of hardware and electronic media containing ePHI.</w:t>
      </w:r>
    </w:p>
    <w:p>
      <w:pPr>
        <w:spacing w:after="90" w:line="276"/>
        <w:ind w:left="720"/>
      </w:pPr>
      <w:r>
        <w:rPr>
          <w:b/>
          <w:bCs/>
          <w:color w:val="000000"/>
          <w:sz w:val="21"/>
          <w:szCs w:val="21"/>
        </w:rPr>
        <w:t xml:space="preserve">(c)  Technical Safeguards (45 CFR § 164.312)</w:t>
      </w:r>
    </w:p>
    <w:p>
      <w:pPr>
        <w:pStyle w:val="ListParagraph"/>
        <w:numPr>
          <w:ilvl w:val="0"/>
          <w:numId w:val="1"/>
        </w:numPr>
        <w:spacing w:after="90" w:line="276"/>
        <w:ind w:left="1080"/>
      </w:pPr>
      <w:r>
        <w:rPr>
          <w:sz w:val="21"/>
          <w:szCs w:val="21"/>
        </w:rPr>
        <w:t xml:space="preserve">Access control (§ 164.312(a)(1)). Unique named user accounts are assigned to each workforce member; shared or generic credentials are prohibited. Each authenticated session is logically scoped to a single client, and a request for records belonging to another client is refused without disclosing whether those records exist.</w:t>
      </w:r>
    </w:p>
    <w:p>
      <w:pPr>
        <w:pStyle w:val="ListParagraph"/>
        <w:numPr>
          <w:ilvl w:val="0"/>
          <w:numId w:val="1"/>
        </w:numPr>
        <w:spacing w:after="90" w:line="276"/>
        <w:ind w:left="1080"/>
      </w:pPr>
      <w:r>
        <w:rPr>
          <w:sz w:val="21"/>
          <w:szCs w:val="21"/>
        </w:rPr>
        <w:t xml:space="preserve">Authentication (§ 164.312(d)). Credentials are stored solely as salted cryptographic password hashes. Authenticated sessions are established by means of signed, time-limited bearer tokens that expire automatically. Automated agent connections authenticate by means of a per-client shared secret compared using constant-time methods.</w:t>
      </w:r>
    </w:p>
    <w:p>
      <w:pPr>
        <w:pStyle w:val="ListParagraph"/>
        <w:numPr>
          <w:ilvl w:val="0"/>
          <w:numId w:val="1"/>
        </w:numPr>
        <w:spacing w:after="90" w:line="276"/>
        <w:ind w:left="1080"/>
      </w:pPr>
      <w:r>
        <w:rPr>
          <w:sz w:val="21"/>
          <w:szCs w:val="21"/>
        </w:rPr>
        <w:t xml:space="preserve">Transmission security (§ 164.312(e)(1)). All traffic between Covered Entity's enrolled endpoints, the Endpoint Shield Solutions platform, and the platform's administrative interface is transmitted over Transport Layer Security version 1.2 or higher.</w:t>
      </w:r>
    </w:p>
    <w:p>
      <w:pPr>
        <w:pStyle w:val="ListParagraph"/>
        <w:numPr>
          <w:ilvl w:val="0"/>
          <w:numId w:val="1"/>
        </w:numPr>
        <w:spacing w:after="90" w:line="276"/>
        <w:ind w:left="1080"/>
      </w:pPr>
      <w:r>
        <w:rPr>
          <w:sz w:val="21"/>
          <w:szCs w:val="21"/>
        </w:rPr>
        <w:t xml:space="preserve">[VERIFY] Audit controls (§ 164.312(b)). Business Associate records and retains hardware, software, and procedural mechanisms that record and examine activity in systems containing ePHI, including authentication events and each create, modify, and delete operation performed against client records, together with the identity of the acting user and the time of the action.</w:t>
      </w:r>
    </w:p>
    <w:p>
      <w:pPr>
        <w:pStyle w:val="ListParagraph"/>
        <w:numPr>
          <w:ilvl w:val="0"/>
          <w:numId w:val="1"/>
        </w:numPr>
        <w:spacing w:after="90" w:line="276"/>
        <w:ind w:left="1080"/>
      </w:pPr>
      <w:r>
        <w:rPr>
          <w:sz w:val="21"/>
          <w:szCs w:val="21"/>
        </w:rPr>
        <w:t xml:space="preserve">[VERIFY] Encryption at rest (§ 164.312(a)(2)(iv)). Client records maintained by Business Associate are encrypted at rest in accordance with NIST Special Publication 800-111 or an equivalent standard.</w:t>
      </w:r>
    </w:p>
    <w:p>
      <w:pPr>
        <w:pStyle w:val="ListParagraph"/>
        <w:numPr>
          <w:ilvl w:val="0"/>
          <w:numId w:val="1"/>
        </w:numPr>
        <w:spacing w:after="90" w:line="276"/>
        <w:ind w:left="1080"/>
      </w:pPr>
      <w:r>
        <w:rPr>
          <w:sz w:val="21"/>
          <w:szCs w:val="21"/>
        </w:rPr>
        <w:t xml:space="preserve">[VERIFY] Automatic logoff (§ 164.312(a)(2)(iii)). Sessions terminate automatically following a defined period of inactivity.</w:t>
      </w:r>
    </w:p>
    <w:p>
      <w:pPr>
        <w:pStyle w:val="ListParagraph"/>
        <w:numPr>
          <w:ilvl w:val="0"/>
          <w:numId w:val="1"/>
        </w:numPr>
        <w:spacing w:after="90" w:line="276"/>
        <w:ind w:left="1080"/>
      </w:pPr>
      <w:r>
        <w:rPr>
          <w:sz w:val="21"/>
          <w:szCs w:val="21"/>
        </w:rPr>
        <w:t xml:space="preserve">[VERIFY] Multi-factor authentication is enforced for all administrative and technician accounts.</w:t>
      </w:r>
    </w:p>
    <w:p>
      <w:pPr>
        <w:pBdr>
          <w:left w:val="single" w:color="7B3FF2" w:sz="12" w:space="12"/>
        </w:pBdr>
        <w:spacing w:after="170" w:before="60" w:line="276"/>
        <w:ind w:left="720"/>
      </w:pPr>
      <w:r>
        <w:rPr>
          <w:i/>
          <w:iCs/>
          <w:color w:val="4A3A6B"/>
          <w:sz w:val="19"/>
          <w:szCs w:val="19"/>
        </w:rPr>
        <w:t xml:space="preserve">DRAFTING NOTE — Every bullet marked [VERIFY] is a contractual representation that Endpoint Shield Solutions does not yet operate. Before this Agreement is executed, each must be either (i) implemented and verified, or (ii) struck from this Section. For any addressable specification under 45 CFR § 164.306(d) that is struck rather than implemented — encryption at rest in particular — document the equivalent alternative measure adopted and the rationale, as § 164.306(d)(3)(ii)(B) requires. Do not leave aspirational language in an executed agreement.</w:t>
      </w:r>
    </w:p>
    <w:p>
      <w:pPr>
        <w:pStyle w:val="Heading2"/>
        <w:spacing w:after="110" w:before="230"/>
      </w:pPr>
      <w:r>
        <w:rPr>
          <w:b/>
          <w:bCs/>
          <w:color w:val="1B2A5E"/>
          <w:sz w:val="22"/>
          <w:szCs w:val="22"/>
        </w:rPr>
        <w:t xml:space="preserve">2.3  Continuous Endpoint Monitoring</w:t>
      </w:r>
    </w:p>
    <w:p>
      <w:pPr>
        <w:spacing w:after="150" w:line="276"/>
      </w:pPr>
      <w:r>
        <w:rPr>
          <w:color w:val="000000"/>
          <w:sz w:val="21"/>
          <w:szCs w:val="21"/>
        </w:rPr>
        <w:t xml:space="preserve">Business Associate shall provide automated, continuously operating endpoint monitoring of Covered Entity's enrolled endpoints. The monitoring platform receives telemetry from each enrolled endpoint on a recurring basis and evaluates endpoint reporting status on an automated and ongoing basis, without dependence on manual initiation.</w:t>
      </w:r>
    </w:p>
    <w:p>
      <w:pPr>
        <w:spacing w:after="150" w:line="276"/>
      </w:pPr>
      <w:r>
        <w:rPr>
          <w:color w:val="000000"/>
          <w:sz w:val="21"/>
          <w:szCs w:val="21"/>
        </w:rPr>
        <w:t xml:space="preserve">Business Associate shall review monitoring output, respond to loss of endpoint reporting, and escalate to Covered Entity in accordance with the service coverage hours, response targets, and escalation procedures set forth in Schedule B. Business Associate shall furnish Covered Entity with a written endpoint monitoring report at the interval stated in Schedule B, documenting enrolled endpoints, reporting status for the period, and any events requiring intervention.</w:t>
      </w:r>
    </w:p>
    <w:p>
      <w:pPr>
        <w:pBdr>
          <w:left w:val="single" w:color="7B3FF2" w:sz="12" w:space="12"/>
        </w:pBdr>
        <w:spacing w:after="170" w:before="60" w:line="276"/>
        <w:ind w:left="720"/>
      </w:pPr>
      <w:r>
        <w:rPr>
          <w:i/>
          <w:iCs/>
          <w:color w:val="4A3A6B"/>
          <w:sz w:val="19"/>
          <w:szCs w:val="19"/>
        </w:rPr>
        <w:t xml:space="preserve">DRAFTING NOTE — This Section deliberately separates two distinct things that are commonly and dangerously conflated. Automated telemetry collection genuinely runs continuously — that is a true statement about the platform. Human review, response, and escalation run only during the hours you actually staff. State those hours honestly in Schedule B. Do not describe your service as "24/7 monitoring" in this Agreement, in marketing, or in conversation unless staffed alerting and escalation genuinely operate around the clock. This representation is routinely tested after an incident, and the gap between an unstaffed platform and a "24/7" promise is where a defensible position becomes an indefensible one.</w:t>
      </w:r>
    </w:p>
    <w:p>
      <w:pPr>
        <w:pStyle w:val="Heading2"/>
        <w:spacing w:after="110" w:before="230"/>
      </w:pPr>
      <w:r>
        <w:rPr>
          <w:b/>
          <w:bCs/>
          <w:color w:val="1B2A5E"/>
          <w:sz w:val="22"/>
          <w:szCs w:val="22"/>
        </w:rPr>
        <w:t xml:space="preserve">2.4  Automated Health Auditing</w:t>
      </w:r>
    </w:p>
    <w:p>
      <w:pPr>
        <w:spacing w:after="150" w:line="276"/>
      </w:pPr>
      <w:r>
        <w:rPr>
          <w:color w:val="000000"/>
          <w:sz w:val="21"/>
          <w:szCs w:val="21"/>
        </w:rPr>
        <w:t xml:space="preserve">Business Associate's platform performs automated, per-client evaluation of endpoint reporting status and produces an endpoint health summary available to Covered Entity on demand and in the periodic report described in Section 2.3.</w:t>
      </w:r>
    </w:p>
    <w:p>
      <w:pPr>
        <w:spacing w:after="150" w:line="276"/>
      </w:pPr>
      <w:r>
        <w:rPr>
          <w:color w:val="000000"/>
          <w:sz w:val="21"/>
          <w:szCs w:val="21"/>
        </w:rPr>
        <w:t xml:space="preserve">The Parties acknowledge that this automated endpoint health function measures device availability and reporting status. It is distinct from, and does not by itself satisfy, the audit controls requirement of 45 CFR § 164.312(b), which is separately addressed in Section 2.2(c).</w:t>
      </w:r>
    </w:p>
    <w:p>
      <w:pPr>
        <w:pStyle w:val="Heading2"/>
        <w:spacing w:after="110" w:before="230"/>
      </w:pPr>
      <w:r>
        <w:rPr>
          <w:b/>
          <w:bCs/>
          <w:color w:val="1B2A5E"/>
          <w:sz w:val="22"/>
          <w:szCs w:val="22"/>
        </w:rPr>
        <w:t xml:space="preserve">2.5  Mitigation</w:t>
      </w:r>
    </w:p>
    <w:p>
      <w:pPr>
        <w:spacing w:after="150" w:line="276"/>
      </w:pPr>
      <w:r>
        <w:rPr>
          <w:color w:val="000000"/>
          <w:sz w:val="21"/>
          <w:szCs w:val="21"/>
        </w:rPr>
        <w:t xml:space="preserve">Business Associate shall mitigate, to the extent practicable, any harmful effect that is known to Business Associate of a use or disclosure of PHI by Business Associate in violation of this Agreement.</w:t>
      </w:r>
    </w:p>
    <w:p>
      <w:pPr>
        <w:pStyle w:val="Heading2"/>
        <w:spacing w:after="110" w:before="230"/>
      </w:pPr>
      <w:r>
        <w:rPr>
          <w:b/>
          <w:bCs/>
          <w:color w:val="1B2A5E"/>
          <w:sz w:val="22"/>
          <w:szCs w:val="22"/>
        </w:rPr>
        <w:t xml:space="preserve">2.6  Workforce</w:t>
      </w:r>
    </w:p>
    <w:p>
      <w:pPr>
        <w:spacing w:after="150" w:line="276"/>
      </w:pPr>
      <w:r>
        <w:rPr>
          <w:color w:val="000000"/>
          <w:sz w:val="21"/>
          <w:szCs w:val="21"/>
        </w:rPr>
        <w:t xml:space="preserve">Business Associate shall ensure that its workforce members who have access to PHI are made aware of and comply with the restrictions and conditions of this Agreement, and shall limit such access to those workforce members who require it to perform the Services.</w:t>
      </w:r>
    </w:p>
    <w:p>
      <w:pPr>
        <w:pStyle w:val="Heading1"/>
        <w:spacing w:after="160" w:before="340"/>
      </w:pPr>
      <w:r>
        <w:rPr>
          <w:b/>
          <w:bCs/>
          <w:color w:val="1B2A5E"/>
          <w:sz w:val="26"/>
          <w:szCs w:val="26"/>
        </w:rPr>
        <w:t xml:space="preserve">3.  Breach and Security Incident Notification</w:t>
      </w:r>
    </w:p>
    <w:p>
      <w:pPr>
        <w:spacing w:after="130" w:line="276"/>
        <w:ind w:left="720" w:hanging="720"/>
      </w:pPr>
      <w:r>
        <w:rPr>
          <w:b/>
          <w:bCs/>
          <w:sz w:val="21"/>
          <w:szCs w:val="21"/>
        </w:rPr>
        <w:t xml:space="preserve">3.1	</w:t>
      </w:r>
      <w:r>
        <w:rPr>
          <w:sz w:val="21"/>
          <w:szCs w:val="21"/>
        </w:rPr>
        <w:t xml:space="preserve">Notification of Breach. Business Associate shall notify Covered Entity of any Breach of Unsecured PHI without unreasonable delay and in no event later than seventy-two (72) hours following Discovery of the Breach. This period is materially shorter than the outer limit of sixty (60) calendar days permitted by 45 CFR § 164.410(b), and the Parties agree that the seventy-two (72) hour period is a material term of this Agreement.</w:t>
      </w:r>
    </w:p>
    <w:p>
      <w:pPr>
        <w:spacing w:after="130" w:line="276"/>
        <w:ind w:left="720" w:hanging="720"/>
      </w:pPr>
      <w:r>
        <w:rPr>
          <w:b/>
          <w:bCs/>
          <w:sz w:val="21"/>
          <w:szCs w:val="21"/>
        </w:rPr>
        <w:t xml:space="preserve">3.2	</w:t>
      </w:r>
      <w:r>
        <w:rPr>
          <w:sz w:val="21"/>
          <w:szCs w:val="21"/>
        </w:rPr>
        <w:t xml:space="preserve">Notification of Impermissible Use or Disclosure. Business Associate shall report to Covered Entity any use or disclosure of PHI not permitted by this Agreement of which it becomes aware, without unreasonable delay and in no event later than seventy-two (72) hours following Discovery.</w:t>
      </w:r>
    </w:p>
    <w:p>
      <w:pPr>
        <w:spacing w:after="130" w:line="276"/>
        <w:ind w:left="720" w:hanging="720"/>
      </w:pPr>
      <w:r>
        <w:rPr>
          <w:b/>
          <w:bCs/>
          <w:sz w:val="21"/>
          <w:szCs w:val="21"/>
        </w:rPr>
        <w:t xml:space="preserve">3.3	</w:t>
      </w:r>
      <w:r>
        <w:rPr>
          <w:sz w:val="21"/>
          <w:szCs w:val="21"/>
        </w:rPr>
        <w:t xml:space="preserve">Notification of Security Incidents. Business Associate shall report to Covered Entity any successful Security Incident of which it becomes aware without unreasonable delay and in no event later than seventy-two (72) hours following Discovery. With respect to unsuccessful Security Incidents — including without limitation pings and other broadcast attacks on a firewall, port scans, unsuccessful log-on attempts, denial of service attacks, and malware that is blocked and does not result in unauthorized access to, or use, disclosure, modification, or destruction of, ePHI — the Parties agree that this Section 3.3 constitutes notice of the ongoing existence and occurrence of such attempts, and that no additional notice is required. Business Associate shall report unsuccessful Security Incidents in aggregate summary form on a [QUARTERLY] basis.</w:t>
      </w:r>
    </w:p>
    <w:p>
      <w:pPr>
        <w:spacing w:after="130" w:line="276"/>
        <w:ind w:left="720" w:hanging="720"/>
      </w:pPr>
      <w:r>
        <w:rPr>
          <w:b/>
          <w:bCs/>
          <w:sz w:val="21"/>
          <w:szCs w:val="21"/>
        </w:rPr>
        <w:t xml:space="preserve">3.4	</w:t>
      </w:r>
      <w:r>
        <w:rPr>
          <w:sz w:val="21"/>
          <w:szCs w:val="21"/>
        </w:rPr>
        <w:t xml:space="preserve">Content of Notification. Each notification under Sections 3.1 or 3.2 shall include, to the extent known at the time of notification: (a) the identification of each individual whose Unsecured PHI has been, or is reasonably believed to have been, accessed, acquired, used, or disclosed; (b) a description of the nature of the Breach, including the date of the Breach and the date of Discovery; (c) a description of the types of PHI involved; (d) a description of the steps Business Associate has taken to investigate the Breach, mitigate harm, and protect against further occurrences; and (e) the name and contact information of a person at Business Associate able to answer questions.</w:t>
      </w:r>
    </w:p>
    <w:p>
      <w:pPr>
        <w:spacing w:after="130" w:line="276"/>
        <w:ind w:left="720" w:hanging="720"/>
      </w:pPr>
      <w:r>
        <w:rPr>
          <w:b/>
          <w:bCs/>
          <w:sz w:val="21"/>
          <w:szCs w:val="21"/>
        </w:rPr>
        <w:t xml:space="preserve">3.5	</w:t>
      </w:r>
      <w:r>
        <w:rPr>
          <w:sz w:val="21"/>
          <w:szCs w:val="21"/>
        </w:rPr>
        <w:t xml:space="preserve">Supplemental Information. The Parties acknowledge that the full scope of a Breach is frequently not determinable within seventy-two (72) hours. Business Associate shall provide such information as is available within that period and shall not delay initial notification in order to complete its investigation. Business Associate shall thereafter provide supplemental information to Covered Entity promptly as it becomes available, and in any event in sufficient time to permit Covered Entity to satisfy its own notification obligations under 45 CFR §§ 164.404, 164.406, and 164.408.</w:t>
      </w:r>
    </w:p>
    <w:p>
      <w:pPr>
        <w:spacing w:after="130" w:line="276"/>
        <w:ind w:left="720" w:hanging="720"/>
      </w:pPr>
      <w:r>
        <w:rPr>
          <w:b/>
          <w:bCs/>
          <w:sz w:val="21"/>
          <w:szCs w:val="21"/>
        </w:rPr>
        <w:t xml:space="preserve">3.6	</w:t>
      </w:r>
      <w:r>
        <w:rPr>
          <w:sz w:val="21"/>
          <w:szCs w:val="21"/>
        </w:rPr>
        <w:t xml:space="preserve">Cooperation and Documentation. Business Associate shall cooperate fully with Covered Entity in Covered Entity's investigation of, and response to, any Breach, and shall preserve all logs, records, and forensic evidence relevant to the incident. Business Associate shall document its risk assessment under Section 1.3 in writing and shall make that documentation available to Covered Entity on request.</w:t>
      </w:r>
    </w:p>
    <w:p>
      <w:pPr>
        <w:spacing w:after="130" w:line="276"/>
        <w:ind w:left="720" w:hanging="720"/>
      </w:pPr>
      <w:r>
        <w:rPr>
          <w:b/>
          <w:bCs/>
          <w:sz w:val="21"/>
          <w:szCs w:val="21"/>
        </w:rPr>
        <w:t xml:space="preserve">3.7	</w:t>
      </w:r>
      <w:r>
        <w:rPr>
          <w:sz w:val="21"/>
          <w:szCs w:val="21"/>
        </w:rPr>
        <w:t xml:space="preserve">Notification Contacts. Notifications under this Section shall be delivered to the contacts designated in Schedule B by both electronic mail and telephone. Each Party shall keep its designated contacts current.</w:t>
      </w:r>
    </w:p>
    <w:p>
      <w:pPr>
        <w:pBdr>
          <w:left w:val="single" w:color="7B3FF2" w:sz="12" w:space="12"/>
        </w:pBdr>
        <w:spacing w:after="170" w:before="60" w:line="276"/>
        <w:ind w:left="720"/>
      </w:pPr>
      <w:r>
        <w:rPr>
          <w:i/>
          <w:iCs/>
          <w:color w:val="4A3A6B"/>
          <w:sz w:val="19"/>
          <w:szCs w:val="19"/>
        </w:rPr>
        <w:t xml:space="preserve">DRAFTING NOTE — A seventy-two (72) hour clock is a genuine competitive differentiator and it is what a sophisticated office manager wants to hear. It is also a promise that binds you at 2 a.m. on a Saturday. Before you agree to it, confirm you have a monitored intake channel, a written breach runbook, and someone who will actually see an alert outside business hours. A missed contractual notification deadline is itself a material breach of this Agreement and hands the Covered Entity a termination right under Section 6.2. If you cannot yet staff seventy-two hours, five (5) business days remains far stronger than the regulatory floor and is defensible; commit to what you can keep.</w:t>
      </w:r>
    </w:p>
    <w:p>
      <w:pPr>
        <w:pStyle w:val="Heading1"/>
        <w:spacing w:after="160" w:before="340"/>
      </w:pPr>
      <w:r>
        <w:rPr>
          <w:b/>
          <w:bCs/>
          <w:color w:val="1B2A5E"/>
          <w:sz w:val="26"/>
          <w:szCs w:val="26"/>
        </w:rPr>
        <w:t xml:space="preserve">4.  Permitted Uses and Disclosures</w:t>
      </w:r>
    </w:p>
    <w:p>
      <w:pPr>
        <w:spacing w:after="130" w:line="276"/>
        <w:ind w:left="720" w:hanging="720"/>
      </w:pPr>
      <w:r>
        <w:rPr>
          <w:b/>
          <w:bCs/>
          <w:sz w:val="21"/>
          <w:szCs w:val="21"/>
        </w:rPr>
        <w:t xml:space="preserve">4.1	</w:t>
      </w:r>
      <w:r>
        <w:rPr>
          <w:sz w:val="21"/>
          <w:szCs w:val="21"/>
        </w:rPr>
        <w:t xml:space="preserve">Limitation to the Services. Business Associate shall not use or disclose PHI other than as necessary to perform the Services, as expressly permitted by this Agreement, or as Required by Law. Business Associate shall not use or disclose PHI in any manner that would violate Subpart E of 45 CFR Part 164 if done by Covered Entity, except as set forth in Sections 4.4 and 4.5.</w:t>
      </w:r>
    </w:p>
    <w:p>
      <w:pPr>
        <w:spacing w:after="130" w:line="276"/>
        <w:ind w:left="720" w:hanging="720"/>
      </w:pPr>
      <w:r>
        <w:rPr>
          <w:b/>
          <w:bCs/>
          <w:sz w:val="21"/>
          <w:szCs w:val="21"/>
        </w:rPr>
        <w:t xml:space="preserve">4.2	</w:t>
      </w:r>
      <w:r>
        <w:rPr>
          <w:sz w:val="21"/>
          <w:szCs w:val="21"/>
        </w:rPr>
        <w:t xml:space="preserve">Scope of Access. The Parties acknowledge that the Services are directed at monitoring the availability, configuration, and security posture of Covered Entity's endpoints, and that the Endpoint Shield Solutions platform is not designed to and does not intentionally ingest, index, store, or transmit the contents of patient records. Business Associate may nevertheless encounter PHI incidentally in the course of administering, troubleshooting, or remediating Covered Entity's endpoints. Every obligation in this Agreement applies in full to any PHI so encountered. This Section describes intended scope and does not limit Business Associate's obligations with respect to any PHI it in fact creates, receives, maintains, or transmits.</w:t>
      </w:r>
    </w:p>
    <w:p>
      <w:pPr>
        <w:spacing w:after="130" w:line="276"/>
        <w:ind w:left="720" w:hanging="720"/>
      </w:pPr>
      <w:r>
        <w:rPr>
          <w:b/>
          <w:bCs/>
          <w:sz w:val="21"/>
          <w:szCs w:val="21"/>
        </w:rPr>
        <w:t xml:space="preserve">4.3	</w:t>
      </w:r>
      <w:r>
        <w:rPr>
          <w:sz w:val="21"/>
          <w:szCs w:val="21"/>
        </w:rPr>
        <w:t xml:space="preserve">Minimum Necessary. Business Associate shall make reasonable efforts to limit its use, disclosure of, and requests for PHI to the minimum necessary to accomplish the intended purpose, consistent with 45 CFR § 164.502(b) and § 164.514(d).</w:t>
      </w:r>
    </w:p>
    <w:p>
      <w:pPr>
        <w:spacing w:after="130" w:line="276"/>
        <w:ind w:left="720" w:hanging="720"/>
      </w:pPr>
      <w:r>
        <w:rPr>
          <w:b/>
          <w:bCs/>
          <w:sz w:val="21"/>
          <w:szCs w:val="21"/>
        </w:rPr>
        <w:t xml:space="preserve">4.4	</w:t>
      </w:r>
      <w:r>
        <w:rPr>
          <w:sz w:val="21"/>
          <w:szCs w:val="21"/>
        </w:rPr>
        <w:t xml:space="preserve">Management and Administration. Business Associate may use PHI for the proper management and administration of Business Associate and to carry out its legal responsibilities.</w:t>
      </w:r>
    </w:p>
    <w:p>
      <w:pPr>
        <w:spacing w:after="130" w:line="276"/>
        <w:ind w:left="720" w:hanging="720"/>
      </w:pPr>
      <w:r>
        <w:rPr>
          <w:b/>
          <w:bCs/>
          <w:sz w:val="21"/>
          <w:szCs w:val="21"/>
        </w:rPr>
        <w:t xml:space="preserve">4.5	</w:t>
      </w:r>
      <w:r>
        <w:rPr>
          <w:sz w:val="21"/>
          <w:szCs w:val="21"/>
        </w:rPr>
        <w:t xml:space="preserve">Disclosure for Management and Administration. Business Associate may disclose PHI for the proper management and administration of Business Associate or to carry out its legal responsibilities only if the disclosure is Required by Law, or if Business Associate obtains reasonable assurances in writing from the person to whom the PHI is disclosed that the PHI will be held confidentially and used or further disclosed only as Required by Law or for the purpose for which it was disclosed, and that the person will notify Business Associate of any instance of which it is aware in which the confidentiality of the PHI has been breached.</w:t>
      </w:r>
    </w:p>
    <w:p>
      <w:pPr>
        <w:spacing w:after="130" w:line="276"/>
        <w:ind w:left="720" w:hanging="720"/>
      </w:pPr>
      <w:r>
        <w:rPr>
          <w:b/>
          <w:bCs/>
          <w:sz w:val="21"/>
          <w:szCs w:val="21"/>
        </w:rPr>
        <w:t xml:space="preserve">4.6	</w:t>
      </w:r>
      <w:r>
        <w:rPr>
          <w:sz w:val="21"/>
          <w:szCs w:val="21"/>
        </w:rPr>
        <w:t xml:space="preserve">Prohibited Uses. Business Associate shall not: (a) sell PHI or receive direct or indirect remuneration in exchange for PHI, except as permitted by 45 CFR § 164.502(a)(5)(ii); (b) use or disclose PHI for marketing or fundraising purposes; (c) de-identify PHI except with Covered Entity's prior written authorization and in accordance with 45 CFR § 164.514(a)–(c); or (d) use or disclose PHI for research, product development, machine learning, model training, or any purpose other than performance of the Services, without Covered Entity's prior written authorization.</w:t>
      </w:r>
    </w:p>
    <w:p>
      <w:pPr>
        <w:spacing w:after="130" w:line="276"/>
        <w:ind w:left="720" w:hanging="720"/>
      </w:pPr>
      <w:r>
        <w:rPr>
          <w:b/>
          <w:bCs/>
          <w:sz w:val="21"/>
          <w:szCs w:val="21"/>
        </w:rPr>
        <w:t xml:space="preserve">4.7	</w:t>
      </w:r>
      <w:r>
        <w:rPr>
          <w:sz w:val="21"/>
          <w:szCs w:val="21"/>
        </w:rPr>
        <w:t xml:space="preserve">Data Location. Business Associate shall not transfer, store, or process PHI outside the United States without Covered Entity's prior written consent.</w:t>
      </w:r>
    </w:p>
    <w:p>
      <w:pPr>
        <w:pStyle w:val="Heading1"/>
        <w:spacing w:after="160" w:before="340"/>
      </w:pPr>
      <w:r>
        <w:rPr>
          <w:b/>
          <w:bCs/>
          <w:color w:val="1B2A5E"/>
          <w:sz w:val="26"/>
          <w:szCs w:val="26"/>
        </w:rPr>
        <w:t xml:space="preserve">5.  Subcontractors</w:t>
      </w:r>
    </w:p>
    <w:p>
      <w:pPr>
        <w:spacing w:after="130" w:line="276"/>
        <w:ind w:left="720" w:hanging="720"/>
      </w:pPr>
      <w:r>
        <w:rPr>
          <w:b/>
          <w:bCs/>
          <w:sz w:val="21"/>
          <w:szCs w:val="21"/>
        </w:rPr>
        <w:t xml:space="preserve">5.1	</w:t>
      </w:r>
      <w:r>
        <w:rPr>
          <w:sz w:val="21"/>
          <w:szCs w:val="21"/>
        </w:rPr>
        <w:t xml:space="preserve">Flow-Down Requirement. In accordance with 45 CFR §§ 164.502(e)(1)(ii) and 164.308(b)(2), Business Associate shall ensure that each Subcontractor that creates, receives, maintains, or transmits PHI on behalf of Business Associate agrees in writing, by means of a written business associate agreement, to restrictions, conditions, and obligations that are at least as restrictive as those that apply to Business Associate under this Agreement.</w:t>
      </w:r>
    </w:p>
    <w:p>
      <w:pPr>
        <w:spacing w:after="130" w:line="276"/>
        <w:ind w:left="720" w:hanging="720"/>
      </w:pPr>
      <w:r>
        <w:rPr>
          <w:b/>
          <w:bCs/>
          <w:sz w:val="21"/>
          <w:szCs w:val="21"/>
        </w:rPr>
        <w:t xml:space="preserve">5.2	</w:t>
      </w:r>
      <w:r>
        <w:rPr>
          <w:sz w:val="21"/>
          <w:szCs w:val="21"/>
        </w:rPr>
        <w:t xml:space="preserve">Cloud and Infrastructure Providers. The Parties acknowledge that Business Associate uses third-party cloud hosting, database, and infrastructure providers in the delivery of the Services, and that such providers are Subcontractors for purposes of this Agreement. Business Associate represents that it has executed a business associate agreement with each such provider, including without limitation its application hosting and managed database providers. The conduit exception described in the preamble to the HIPAA Omnibus Rule does not apply to a provider that maintains PHI on a persistent basis.</w:t>
      </w:r>
    </w:p>
    <w:p>
      <w:pPr>
        <w:spacing w:after="130" w:line="276"/>
        <w:ind w:left="720" w:hanging="720"/>
      </w:pPr>
      <w:r>
        <w:rPr>
          <w:b/>
          <w:bCs/>
          <w:sz w:val="21"/>
          <w:szCs w:val="21"/>
        </w:rPr>
        <w:t xml:space="preserve">5.3	</w:t>
      </w:r>
      <w:r>
        <w:rPr>
          <w:sz w:val="21"/>
          <w:szCs w:val="21"/>
        </w:rPr>
        <w:t xml:space="preserve">Subcontractor Register. Business Associate shall maintain a current written register of all Subcontractors that create, receive, maintain, or transmit PHI, identifying each provider, the function performed, and the date of the executed business associate agreement. Business Associate shall furnish the register to Covered Entity upon reasonable request and shall notify Covered Entity in writing not less than [THIRTY (30)] days before adding or replacing a Subcontractor that will have access to PHI.</w:t>
      </w:r>
    </w:p>
    <w:p>
      <w:pPr>
        <w:spacing w:after="130" w:line="276"/>
        <w:ind w:left="720" w:hanging="720"/>
      </w:pPr>
      <w:r>
        <w:rPr>
          <w:b/>
          <w:bCs/>
          <w:sz w:val="21"/>
          <w:szCs w:val="21"/>
        </w:rPr>
        <w:t xml:space="preserve">5.4	</w:t>
      </w:r>
      <w:r>
        <w:rPr>
          <w:sz w:val="21"/>
          <w:szCs w:val="21"/>
        </w:rPr>
        <w:t xml:space="preserve">Continuing Liability. Business Associate remains fully responsible to Covered Entity for the acts and omissions of its Subcontractors with respect to PHI as though they were the acts and omissions of Business Associate. Delegation to a Subcontractor does not relieve Business Associate of any obligation under this Agreement.</w:t>
      </w:r>
    </w:p>
    <w:p>
      <w:pPr>
        <w:pBdr>
          <w:left w:val="single" w:color="7B3FF2" w:sz="12" w:space="12"/>
        </w:pBdr>
        <w:spacing w:after="170" w:before="60" w:line="276"/>
        <w:ind w:left="720"/>
      </w:pPr>
      <w:r>
        <w:rPr>
          <w:i/>
          <w:iCs/>
          <w:color w:val="4A3A6B"/>
          <w:sz w:val="19"/>
          <w:szCs w:val="19"/>
        </w:rPr>
        <w:t xml:space="preserve">DRAFTING NOTE — Section 5.2 is a representation you must be able to support on the day you sign. Confirm in writing that your hosting and database providers will execute a BAA on your account tier before you offer this Agreement to any client — not every provider will, and not on every plan.</w:t>
      </w:r>
    </w:p>
    <w:p>
      <w:pPr>
        <w:pStyle w:val="Heading1"/>
        <w:spacing w:after="160" w:before="340"/>
      </w:pPr>
      <w:r>
        <w:rPr>
          <w:b/>
          <w:bCs/>
          <w:color w:val="1B2A5E"/>
          <w:sz w:val="26"/>
          <w:szCs w:val="26"/>
        </w:rPr>
        <w:t xml:space="preserve">6.  Term and Termination</w:t>
      </w:r>
    </w:p>
    <w:p>
      <w:pPr>
        <w:spacing w:after="130" w:line="276"/>
        <w:ind w:left="720" w:hanging="720"/>
      </w:pPr>
      <w:r>
        <w:rPr>
          <w:b/>
          <w:bCs/>
          <w:sz w:val="21"/>
          <w:szCs w:val="21"/>
        </w:rPr>
        <w:t xml:space="preserve">6.1	</w:t>
      </w:r>
      <w:r>
        <w:rPr>
          <w:sz w:val="21"/>
          <w:szCs w:val="21"/>
        </w:rPr>
        <w:t xml:space="preserve">Term. This Agreement takes effect on the Effective Date and continues in effect until the later of (a) termination of the Underlying Agreement, or (b) the date on which all PHI in the possession or control of Business Associate and its Subcontractors is returned to Covered Entity or destroyed in accordance with Section 6.3, unless terminated earlier as provided below.</w:t>
      </w:r>
    </w:p>
    <w:p>
      <w:pPr>
        <w:spacing w:after="130" w:line="276"/>
        <w:ind w:left="720" w:hanging="720"/>
      </w:pPr>
      <w:r>
        <w:rPr>
          <w:b/>
          <w:bCs/>
          <w:sz w:val="21"/>
          <w:szCs w:val="21"/>
        </w:rPr>
        <w:t xml:space="preserve">6.2	</w:t>
      </w:r>
      <w:r>
        <w:rPr>
          <w:sz w:val="21"/>
          <w:szCs w:val="21"/>
        </w:rPr>
        <w:t xml:space="preserve">Termination for Cause. Covered Entity may terminate this Agreement and the Underlying Agreement, without penalty, upon written notice if Business Associate materially breaches this Agreement and fails to cure the breach within [THIRTY (30)] days of receiving written notice, or immediately upon written notice if cure is not reasonably possible. Business Associate may terminate this Agreement upon written notice if Covered Entity materially breaches a term of this Agreement and fails to cure within the same period.</w:t>
      </w:r>
    </w:p>
    <w:p>
      <w:pPr>
        <w:spacing w:after="130" w:line="276"/>
        <w:ind w:left="720" w:hanging="720"/>
      </w:pPr>
      <w:r>
        <w:rPr>
          <w:b/>
          <w:bCs/>
          <w:sz w:val="21"/>
          <w:szCs w:val="21"/>
        </w:rPr>
        <w:t xml:space="preserve">6.3	</w:t>
      </w:r>
      <w:r>
        <w:rPr>
          <w:sz w:val="21"/>
          <w:szCs w:val="21"/>
        </w:rPr>
        <w:t xml:space="preserve">Return or Destruction of PHI. Upon termination or expiration of this Agreement for any reason, Business Associate shall, at Covered Entity's written election:</w:t>
      </w:r>
    </w:p>
    <w:p>
      <w:pPr>
        <w:spacing w:after="120" w:line="276"/>
        <w:ind w:left="1080" w:hanging="360"/>
      </w:pPr>
      <w:r>
        <w:rPr>
          <w:b/>
          <w:bCs/>
          <w:sz w:val="21"/>
          <w:szCs w:val="21"/>
        </w:rPr>
        <w:t xml:space="preserve">(a)	</w:t>
      </w:r>
      <w:r>
        <w:rPr>
          <w:sz w:val="21"/>
          <w:szCs w:val="21"/>
        </w:rPr>
        <w:t xml:space="preserve">Return to Covered Entity all PHI in the possession or control of Business Associate and its Subcontractors, in a mutually agreed, industry-standard, machine-readable format; or</w:t>
      </w:r>
    </w:p>
    <w:p>
      <w:pPr>
        <w:spacing w:after="120" w:line="276"/>
        <w:ind w:left="1080" w:hanging="360"/>
      </w:pPr>
      <w:r>
        <w:rPr>
          <w:b/>
          <w:bCs/>
          <w:sz w:val="21"/>
          <w:szCs w:val="21"/>
        </w:rPr>
        <w:t xml:space="preserve">(b)	</w:t>
      </w:r>
      <w:r>
        <w:rPr>
          <w:sz w:val="21"/>
          <w:szCs w:val="21"/>
        </w:rPr>
        <w:t xml:space="preserve">Destroy all such PHI by a method that renders it unusable, unreadable, and indecipherable in accordance with the Secretary's guidance under section 13402(h)(2) of Public Law 111-5, including secure overwriting or cryptographic erasure of electronic media and cross-cut shredding or incineration of physical media.</w:t>
      </w:r>
    </w:p>
    <w:p>
      <w:pPr>
        <w:spacing w:after="150" w:line="276"/>
        <w:ind w:left="720"/>
      </w:pPr>
      <w:r>
        <w:rPr>
          <w:color w:val="000000"/>
          <w:sz w:val="21"/>
          <w:szCs w:val="21"/>
        </w:rPr>
        <w:t xml:space="preserve">Business Associate shall complete the return or destruction, including with respect to all copies, backups, archives, and Subcontractor-held data, within [THIRTY (30)] days following termination, and shall furnish Covered Entity a written certification, signed by an authorized officer, identifying the method used, the date of completion, and confirming that no copies have been retained. If Covered Entity does not make an election within [FIFTEEN (15)] days of termination, Business Associate shall destroy the PHI in accordance with subsection (b).</w:t>
      </w:r>
    </w:p>
    <w:p>
      <w:pPr>
        <w:spacing w:after="130" w:line="276"/>
        <w:ind w:left="720" w:hanging="720"/>
      </w:pPr>
      <w:r>
        <w:rPr>
          <w:b/>
          <w:bCs/>
          <w:sz w:val="21"/>
          <w:szCs w:val="21"/>
        </w:rPr>
        <w:t xml:space="preserve">6.4	</w:t>
      </w:r>
      <w:r>
        <w:rPr>
          <w:sz w:val="21"/>
          <w:szCs w:val="21"/>
        </w:rPr>
        <w:t xml:space="preserve">Infeasibility. If return or destruction of PHI is infeasible, Business Associate shall notify Covered Entity in writing, describing the conditions that make return or destruction infeasible. Business Associate shall thereafter extend the protections of this Agreement to that PHI, limit further uses and disclosures to those purposes that make return or destruction infeasible, and retain the PHI no longer than necessary for those purposes. Cost or inconvenience alone does not constitute infeasibility. Retention of PHI in immutable backup media pending scheduled expiration of that media is deemed infeasible for the duration of the documented retention cycle.</w:t>
      </w:r>
    </w:p>
    <w:p>
      <w:pPr>
        <w:spacing w:after="130" w:line="276"/>
        <w:ind w:left="720" w:hanging="720"/>
      </w:pPr>
      <w:r>
        <w:rPr>
          <w:b/>
          <w:bCs/>
          <w:sz w:val="21"/>
          <w:szCs w:val="21"/>
        </w:rPr>
        <w:t xml:space="preserve">6.5	</w:t>
      </w:r>
      <w:r>
        <w:rPr>
          <w:sz w:val="21"/>
          <w:szCs w:val="21"/>
        </w:rPr>
        <w:t xml:space="preserve">Transition Assistance. For [THIRTY (30)] days following termination, Business Associate shall provide reasonable assistance to Covered Entity in transitioning the Services to Covered Entity or its designee, at Business Associate's then-current rates.</w:t>
      </w:r>
    </w:p>
    <w:p>
      <w:pPr>
        <w:spacing w:after="130" w:line="276"/>
        <w:ind w:left="720" w:hanging="720"/>
      </w:pPr>
      <w:r>
        <w:rPr>
          <w:b/>
          <w:bCs/>
          <w:sz w:val="21"/>
          <w:szCs w:val="21"/>
        </w:rPr>
        <w:t xml:space="preserve">6.6	</w:t>
      </w:r>
      <w:r>
        <w:rPr>
          <w:sz w:val="21"/>
          <w:szCs w:val="21"/>
        </w:rPr>
        <w:t xml:space="preserve">Survival. Sections 2.2, 3, 5.4, 6.3, 6.4, 7, 8, 9, and 11 survive termination or expiration of this Agreement.</w:t>
      </w:r>
    </w:p>
    <w:p>
      <w:pPr>
        <w:pStyle w:val="Heading1"/>
        <w:spacing w:after="160" w:before="340"/>
      </w:pPr>
      <w:r>
        <w:rPr>
          <w:b/>
          <w:bCs/>
          <w:color w:val="1B2A5E"/>
          <w:sz w:val="26"/>
          <w:szCs w:val="26"/>
        </w:rPr>
        <w:t xml:space="preserve">7.  Indemnification, Liability, and Regulatory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ECEB" w:val="clear"/>
            <w:tcMar>
              <w:top w:type="dxa" w:w="170"/>
              <w:left w:type="dxa" w:w="210"/>
              <w:bottom w:type="dxa" w:w="170"/>
              <w:right w:type="dxa" w:w="210"/>
            </w:tcMar>
          </w:tcPr>
          <w:p>
            <w:pPr>
              <w:spacing w:after="110"/>
            </w:pPr>
            <w:r>
              <w:rPr>
                <w:b/>
                <w:bCs/>
                <w:color w:val="B3261E"/>
                <w:sz w:val="21"/>
                <w:szCs w:val="21"/>
              </w:rPr>
              <w:t xml:space="preserve">DO NOT ADAPT THIS SECTION WITHOUT COUNSEL.</w:t>
            </w:r>
          </w:p>
          <w:p>
            <w:pPr>
              <w:spacing w:after="90" w:line="276"/>
            </w:pPr>
            <w:r>
              <w:rPr>
                <w:color w:val="7A1F19"/>
                <w:sz w:val="20"/>
                <w:szCs w:val="20"/>
              </w:rPr>
              <w:t xml:space="preserve">Indemnification and limitation of liability are the most heavily negotiated provisions in any BAA and the provisions most likely to determine whether a single incident is survivable. The language below is a structurally complete starting point, not a settled position. The bracketed figures are placeholders, not recommendations.</w:t>
            </w:r>
          </w:p>
          <w:p>
            <w:pPr>
              <w:spacing w:after="90" w:line="276"/>
            </w:pPr>
            <w:r>
              <w:rPr>
                <w:color w:val="7A1F19"/>
                <w:sz w:val="20"/>
                <w:szCs w:val="20"/>
              </w:rPr>
              <w:t xml:space="preserve">Note in particular Section 7.4: Covered Entities routinely demand that HIPAA-related liability be carved out of the liability cap entirely. Agreeing to uncapped liability exposes the whole of your business to a single incident. Your insurance limits, not your revenue, should anchor this negotiation.</w:t>
            </w:r>
          </w:p>
        </w:tc>
      </w:tr>
    </w:tbl>
    <w:p>
      <w:pPr>
        <w:spacing w:after="130" w:line="276"/>
        <w:ind w:left="720" w:hanging="720"/>
      </w:pPr>
      <w:r>
        <w:rPr>
          <w:b/>
          <w:bCs/>
          <w:sz w:val="21"/>
          <w:szCs w:val="21"/>
        </w:rPr>
        <w:t xml:space="preserve">7.1	</w:t>
      </w:r>
      <w:r>
        <w:rPr>
          <w:sz w:val="21"/>
          <w:szCs w:val="21"/>
        </w:rPr>
        <w:t xml:space="preserve">Indemnification by Business Associate. Business Associate shall indemnify, defend, and hold harmless Covered Entity and its officers, directors, employees, and agents from and against any and all third-party claims, actions, proceedings, losses, liabilities, damages, civil monetary penalties, fines, settlements, and reasonable costs and expenses (including reasonable attorneys' fees and the documented costs of breach notification, credit monitoring, forensic investigation, and regulatory response) arising out of or relating to: (a) Business Associate's breach of this Agreement; (b) Business Associate's violation of HIPAA with respect to PHI received from or on behalf of Covered Entity; or (c) the negligence, gross negligence, or willful misconduct of Business Associate, its workforce, or its Subcontractors.</w:t>
      </w:r>
    </w:p>
    <w:p>
      <w:pPr>
        <w:spacing w:after="130" w:line="276"/>
        <w:ind w:left="720" w:hanging="720"/>
      </w:pPr>
      <w:r>
        <w:rPr>
          <w:b/>
          <w:bCs/>
          <w:sz w:val="21"/>
          <w:szCs w:val="21"/>
        </w:rPr>
        <w:t xml:space="preserve">7.2	</w:t>
      </w:r>
      <w:r>
        <w:rPr>
          <w:sz w:val="21"/>
          <w:szCs w:val="21"/>
        </w:rPr>
        <w:t xml:space="preserve">Indemnification by Covered Entity. Covered Entity shall indemnify, defend, and hold harmless Business Associate and its officers, directors, employees, and agents from and against any and all third-party claims, actions, proceedings, losses, liabilities, damages, penalties, settlements, and reasonable costs and expenses arising out of or relating to: (a) Covered Entity's breach of this Agreement; (b) Covered Entity's violation of HIPAA independent of any act or omission of Business Associate; (c) PHI disclosed to Business Associate in excess of the minimum necessary or otherwise contrary to Covered Entity's instructions; or (d) Covered Entity's failure to maintain the security of systems, networks, and premises not enrolled in the Services.</w:t>
      </w:r>
    </w:p>
    <w:p>
      <w:pPr>
        <w:spacing w:after="130" w:line="276"/>
        <w:ind w:left="720" w:hanging="720"/>
      </w:pPr>
      <w:r>
        <w:rPr>
          <w:b/>
          <w:bCs/>
          <w:sz w:val="21"/>
          <w:szCs w:val="21"/>
        </w:rPr>
        <w:t xml:space="preserve">7.3	</w:t>
      </w:r>
      <w:r>
        <w:rPr>
          <w:sz w:val="21"/>
          <w:szCs w:val="21"/>
        </w:rPr>
        <w:t xml:space="preserve">Indemnification Procedure. The Party seeking indemnification shall give the indemnifying Party prompt written notice of any claim, provided that failure to give prompt notice relieves the indemnifying Party of its obligations only to the extent it is materially prejudiced thereby. The indemnifying Party has the right to control the defense and settlement of the claim with counsel reasonably acceptable to the indemnified Party, except that no settlement imposing a non-monetary obligation on, or admitting liability of, the indemnified Party may be entered without that Party's prior written consent. The indemnified Party shall cooperate reasonably in the defense at the indemnifying Party's expense and may participate with counsel of its own choosing at its own expense.</w:t>
      </w:r>
    </w:p>
    <w:p>
      <w:pPr>
        <w:spacing w:after="130" w:line="276"/>
        <w:ind w:left="720" w:hanging="720"/>
      </w:pPr>
      <w:r>
        <w:rPr>
          <w:b/>
          <w:bCs/>
          <w:sz w:val="21"/>
          <w:szCs w:val="21"/>
        </w:rPr>
        <w:t xml:space="preserve">7.4	</w:t>
      </w:r>
      <w:r>
        <w:rPr>
          <w:sz w:val="21"/>
          <w:szCs w:val="21"/>
        </w:rPr>
        <w:t xml:space="preserve">Limitation of Liability. EXCEPT AS PROVIDED IN THIS SECTION 7.4, THE AGGREGATE LIABILITY OF EITHER PARTY ARISING OUT OF OR RELATING TO THIS AGREEMENT SHALL NOT EXCEED [THE GREATER OF (i) $[AMOUNT] OR (ii) THE TOTAL FEES PAID BY COVERED ENTITY TO BUSINESS ASSOCIATE UNDER THE UNDERLYING AGREEMENT DURING THE [TWELVE (12)] MONTHS IMMEDIATELY PRECEDING THE EVENT GIVING RISE TO THE CLAIM]. NEITHER PARTY SHALL BE LIABLE FOR CONSEQUENTIAL, INCIDENTAL, SPECIAL, EXEMPLARY, OR PUNITIVE DAMAGES, OR FOR LOST PROFITS. The foregoing limitations do not apply to [a Party's indemnification obligations under Sections 7.1 or 7.2 / liability arising from a Party's gross negligence, willful misconduct, or breach of confidentiality obligations].</w:t>
      </w:r>
    </w:p>
    <w:p>
      <w:pPr>
        <w:pBdr>
          <w:left w:val="single" w:color="7B3FF2" w:sz="12" w:space="12"/>
        </w:pBdr>
        <w:spacing w:after="170" w:before="60" w:line="276"/>
        <w:ind w:left="720"/>
      </w:pPr>
      <w:r>
        <w:rPr>
          <w:i/>
          <w:iCs/>
          <w:color w:val="4A3A6B"/>
          <w:sz w:val="19"/>
          <w:szCs w:val="19"/>
        </w:rPr>
        <w:t xml:space="preserve">DRAFTING NOTE — The bracketed carve-out in the final sentence of Section 7.4 is the entire negotiation. If indemnification obligations are carved out of the cap, your exposure is unlimited and a single multi-thousand-record breach can end the business. Anchor the cap to your bound cyber liability and technology errors &amp; omissions limits, and be prepared to walk from a client who will not accept a cap at any level. Counsel should draft the final language.</w:t>
      </w:r>
    </w:p>
    <w:p>
      <w:pPr>
        <w:spacing w:after="130" w:line="276"/>
        <w:ind w:left="720" w:hanging="720"/>
      </w:pPr>
      <w:r>
        <w:rPr>
          <w:b/>
          <w:bCs/>
          <w:sz w:val="21"/>
          <w:szCs w:val="21"/>
        </w:rPr>
        <w:t xml:space="preserve">7.5	</w:t>
      </w:r>
      <w:r>
        <w:rPr>
          <w:sz w:val="21"/>
          <w:szCs w:val="21"/>
        </w:rPr>
        <w:t xml:space="preserve">Insurance. Business Associate shall maintain, at its own expense and for the term of this Agreement and [TWO (2)] years thereafter, cyber liability and technology errors &amp; omissions insurance with limits of not less than $[AMOUNT] per occurrence and $[AMOUNT] in the aggregate, covering privacy and network security liability, regulatory defense and penalties, and breach response costs. Business Associate shall furnish a certificate of insurance upon request and shall provide [THIRTY (30)] days' written notice of cancellation or material reduction in coverage.</w:t>
      </w:r>
    </w:p>
    <w:p>
      <w:pPr>
        <w:spacing w:after="130" w:line="276"/>
        <w:ind w:left="720" w:hanging="720"/>
      </w:pPr>
      <w:r>
        <w:rPr>
          <w:b/>
          <w:bCs/>
          <w:sz w:val="21"/>
          <w:szCs w:val="21"/>
        </w:rPr>
        <w:t xml:space="preserve">7.6	</w:t>
      </w:r>
      <w:r>
        <w:rPr>
          <w:sz w:val="21"/>
          <w:szCs w:val="21"/>
        </w:rPr>
        <w:t xml:space="preserve">Regulatory Investigations and Audits. In the event of an investigation, audit, inquiry, or compliance review by the Secretary, OCR, a State Attorney General, or any other governmental authority relating to PHI processed under this Agreement:</w:t>
      </w:r>
    </w:p>
    <w:p>
      <w:pPr>
        <w:spacing w:after="120" w:line="276"/>
        <w:ind w:left="1080" w:hanging="360"/>
      </w:pPr>
      <w:r>
        <w:rPr>
          <w:b/>
          <w:bCs/>
          <w:sz w:val="21"/>
          <w:szCs w:val="21"/>
        </w:rPr>
        <w:t xml:space="preserve">(a)	</w:t>
      </w:r>
      <w:r>
        <w:rPr>
          <w:sz w:val="21"/>
          <w:szCs w:val="21"/>
        </w:rPr>
        <w:t xml:space="preserve">The Party first receiving notice shall inform the other Party in writing within [FIVE (5)] business days, unless prohibited from doing so by law or by the investigating authority.</w:t>
      </w:r>
    </w:p>
    <w:p>
      <w:pPr>
        <w:spacing w:after="120" w:line="276"/>
        <w:ind w:left="1080" w:hanging="360"/>
      </w:pPr>
      <w:r>
        <w:rPr>
          <w:b/>
          <w:bCs/>
          <w:sz w:val="21"/>
          <w:szCs w:val="21"/>
        </w:rPr>
        <w:t xml:space="preserve">(b)	</w:t>
      </w:r>
      <w:r>
        <w:rPr>
          <w:sz w:val="21"/>
          <w:szCs w:val="21"/>
        </w:rPr>
        <w:t xml:space="preserve">Each Party shall cooperate reasonably with the other in responding, including by furnishing relevant policies, procedures, audit logs, risk analyses, training records, and monitoring reports within the timeframes required by the authority.</w:t>
      </w:r>
    </w:p>
    <w:p>
      <w:pPr>
        <w:spacing w:after="120" w:line="276"/>
        <w:ind w:left="1080" w:hanging="360"/>
      </w:pPr>
      <w:r>
        <w:rPr>
          <w:b/>
          <w:bCs/>
          <w:sz w:val="21"/>
          <w:szCs w:val="21"/>
        </w:rPr>
        <w:t xml:space="preserve">(c)	</w:t>
      </w:r>
      <w:r>
        <w:rPr>
          <w:sz w:val="21"/>
          <w:szCs w:val="21"/>
        </w:rPr>
        <w:t xml:space="preserve">Each Party retains sole control over its own response, submissions, and communications with the authority. Neither Party shall make a statement purporting to bind the other, nor characterize the other Party's compliance posture, without that Party's prior written consent.</w:t>
      </w:r>
    </w:p>
    <w:p>
      <w:pPr>
        <w:spacing w:after="120" w:line="276"/>
        <w:ind w:left="1080" w:hanging="360"/>
      </w:pPr>
      <w:r>
        <w:rPr>
          <w:b/>
          <w:bCs/>
          <w:sz w:val="21"/>
          <w:szCs w:val="21"/>
        </w:rPr>
        <w:t xml:space="preserve">(d)	</w:t>
      </w:r>
      <w:r>
        <w:rPr>
          <w:sz w:val="21"/>
          <w:szCs w:val="21"/>
        </w:rPr>
        <w:t xml:space="preserve">Each Party bears its own costs of responding, except that where the investigation arises from a Party's breach of this Agreement, that Party shall bear the other Party's reasonable costs of response as provided in Sections 7.1 and 7.2.</w:t>
      </w:r>
    </w:p>
    <w:p>
      <w:pPr>
        <w:spacing w:after="120" w:line="276"/>
        <w:ind w:left="1080" w:hanging="360"/>
      </w:pPr>
      <w:r>
        <w:rPr>
          <w:b/>
          <w:bCs/>
          <w:sz w:val="21"/>
          <w:szCs w:val="21"/>
        </w:rPr>
        <w:t xml:space="preserve">(e)	</w:t>
      </w:r>
      <w:r>
        <w:rPr>
          <w:sz w:val="21"/>
          <w:szCs w:val="21"/>
        </w:rPr>
        <w:t xml:space="preserve">Nothing in this Section limits either Party's independent obligations to the Secretary under 45 CFR Part 160 Subpart C, and no provision of this Agreement shall be construed to require a Party to withhold information lawfully demanded by a governmental authority.</w:t>
      </w:r>
    </w:p>
    <w:p>
      <w:pPr>
        <w:spacing w:after="130" w:line="276"/>
        <w:ind w:left="720" w:hanging="720"/>
      </w:pPr>
      <w:r>
        <w:rPr>
          <w:b/>
          <w:bCs/>
          <w:sz w:val="21"/>
          <w:szCs w:val="21"/>
        </w:rPr>
        <w:t xml:space="preserve">7.7	</w:t>
      </w:r>
      <w:r>
        <w:rPr>
          <w:sz w:val="21"/>
          <w:szCs w:val="21"/>
        </w:rPr>
        <w:t xml:space="preserve">Covered Entity Assessments. Not more than [once annually], and upon not less than [THIRTY (30)] days' written notice, Covered Entity may request that Business Associate complete a written security questionnaire or furnish the results of its most recent risk analysis, penetration test, or third-party security assessment relating to the Services. Business Associate shall respond within [THIRTY (30)] days. Any information so furnished is Business Associate's confidential information.</w:t>
      </w:r>
    </w:p>
    <w:p>
      <w:pPr>
        <w:pStyle w:val="Heading1"/>
        <w:spacing w:after="160" w:before="340"/>
      </w:pPr>
      <w:r>
        <w:rPr>
          <w:b/>
          <w:bCs/>
          <w:color w:val="1B2A5E"/>
          <w:sz w:val="26"/>
          <w:szCs w:val="26"/>
        </w:rPr>
        <w:t xml:space="preserve">8.  Individual Rights and Access Obligations</w:t>
      </w:r>
    </w:p>
    <w:p>
      <w:pPr>
        <w:spacing w:after="150" w:line="276"/>
      </w:pPr>
      <w:r>
        <w:rPr>
          <w:color w:val="000000"/>
          <w:sz w:val="21"/>
          <w:szCs w:val="21"/>
        </w:rPr>
        <w:t xml:space="preserve">The provisions of this Section are required by 45 CFR § 164.504(e)(2)(ii) and apply to the extent Business Associate maintains PHI in a Designated Record Set. The Parties do not anticipate that the Services will cause Business Associate to maintain PHI in a Designated Record Set; this Section applies notwithstanding that expectation.</w:t>
      </w:r>
    </w:p>
    <w:p>
      <w:pPr>
        <w:spacing w:after="130" w:line="276"/>
        <w:ind w:left="720" w:hanging="720"/>
      </w:pPr>
      <w:r>
        <w:rPr>
          <w:b/>
          <w:bCs/>
          <w:sz w:val="21"/>
          <w:szCs w:val="21"/>
        </w:rPr>
        <w:t xml:space="preserve">8.1	</w:t>
      </w:r>
      <w:r>
        <w:rPr>
          <w:sz w:val="21"/>
          <w:szCs w:val="21"/>
        </w:rPr>
        <w:t xml:space="preserve">Access. Business Associate shall make PHI in a Designated Record Set available to Covered Entity, or as directed by Covered Entity to an individual, as necessary to satisfy Covered Entity's obligations under 45 CFR § 164.524, within [TEN (10)] business days of a written request.</w:t>
      </w:r>
    </w:p>
    <w:p>
      <w:pPr>
        <w:spacing w:after="130" w:line="276"/>
        <w:ind w:left="720" w:hanging="720"/>
      </w:pPr>
      <w:r>
        <w:rPr>
          <w:b/>
          <w:bCs/>
          <w:sz w:val="21"/>
          <w:szCs w:val="21"/>
        </w:rPr>
        <w:t xml:space="preserve">8.2	</w:t>
      </w:r>
      <w:r>
        <w:rPr>
          <w:sz w:val="21"/>
          <w:szCs w:val="21"/>
        </w:rPr>
        <w:t xml:space="preserve">Amendment. Business Associate shall make PHI in a Designated Record Set available for amendment and shall incorporate any amendment directed by Covered Entity, as necessary to satisfy Covered Entity's obligations under 45 CFR § 164.526, within [TEN (10)] business days of a written request.</w:t>
      </w:r>
    </w:p>
    <w:p>
      <w:pPr>
        <w:spacing w:after="130" w:line="276"/>
        <w:ind w:left="720" w:hanging="720"/>
      </w:pPr>
      <w:r>
        <w:rPr>
          <w:b/>
          <w:bCs/>
          <w:sz w:val="21"/>
          <w:szCs w:val="21"/>
        </w:rPr>
        <w:t xml:space="preserve">8.3	</w:t>
      </w:r>
      <w:r>
        <w:rPr>
          <w:sz w:val="21"/>
          <w:szCs w:val="21"/>
        </w:rPr>
        <w:t xml:space="preserve">Accounting of Disclosures. Business Associate shall document disclosures of PHI and information related to such disclosures as would be required for Covered Entity to respond to a request for an accounting of disclosures under 45 CFR § 164.528, and shall provide that documentation to Covered Entity within [TEN (10)] business days of a written request. Business Associate shall retain such documentation for six (6) years from the date of the disclosure.</w:t>
      </w:r>
    </w:p>
    <w:p>
      <w:pPr>
        <w:spacing w:after="130" w:line="276"/>
        <w:ind w:left="720" w:hanging="720"/>
      </w:pPr>
      <w:r>
        <w:rPr>
          <w:b/>
          <w:bCs/>
          <w:sz w:val="21"/>
          <w:szCs w:val="21"/>
        </w:rPr>
        <w:t xml:space="preserve">8.4	</w:t>
      </w:r>
      <w:r>
        <w:rPr>
          <w:sz w:val="21"/>
          <w:szCs w:val="21"/>
        </w:rPr>
        <w:t xml:space="preserve">Performance of Covered Entity Obligations. To the extent Business Associate is to carry out one or more of Covered Entity's obligations under Subpart E of 45 CFR Part 164, Business Associate shall comply with the requirements of Subpart E that apply to Covered Entity in the performance of those obligations.</w:t>
      </w:r>
    </w:p>
    <w:p>
      <w:pPr>
        <w:spacing w:after="130" w:line="276"/>
        <w:ind w:left="720" w:hanging="720"/>
      </w:pPr>
      <w:r>
        <w:rPr>
          <w:b/>
          <w:bCs/>
          <w:sz w:val="21"/>
          <w:szCs w:val="21"/>
        </w:rPr>
        <w:t xml:space="preserve">8.5	</w:t>
      </w:r>
      <w:r>
        <w:rPr>
          <w:sz w:val="21"/>
          <w:szCs w:val="21"/>
        </w:rPr>
        <w:t xml:space="preserve">Restrictions. Business Associate shall comply with any restriction on the use or disclosure of PHI to which Covered Entity has agreed under 45 CFR § 164.522, and with any limitation in Covered Entity's Notice of Privacy Practices under 45 CFR § 164.520, in each case to the extent Covered Entity notifies Business Associate of it in writing and it affects Business Associate's permitted uses or disclosures.</w:t>
      </w:r>
    </w:p>
    <w:p>
      <w:pPr>
        <w:pStyle w:val="Heading1"/>
        <w:spacing w:after="160" w:before="340"/>
      </w:pPr>
      <w:r>
        <w:rPr>
          <w:b/>
          <w:bCs/>
          <w:color w:val="1B2A5E"/>
          <w:sz w:val="26"/>
          <w:szCs w:val="26"/>
        </w:rPr>
        <w:t xml:space="preserve">9.  Access by the Secretary</w:t>
      </w:r>
    </w:p>
    <w:p>
      <w:pPr>
        <w:spacing w:after="150" w:line="276"/>
      </w:pPr>
      <w:r>
        <w:rPr>
          <w:color w:val="000000"/>
          <w:sz w:val="21"/>
          <w:szCs w:val="21"/>
        </w:rPr>
        <w:t xml:space="preserve">Business Associate shall make its internal practices, books, and records, including policies and procedures relating to the use and disclosure of PHI received from, or created or received by Business Associate on behalf of, Covered Entity, available to the Secretary for purposes of determining Covered Entity's compliance with HIPAA. Business Associate shall notify Covered Entity of any such request as provided in Section 7.6(a), unless prohibited from doing so.</w:t>
      </w:r>
    </w:p>
    <w:p>
      <w:pPr>
        <w:pStyle w:val="Heading1"/>
        <w:spacing w:after="160" w:before="340"/>
      </w:pPr>
      <w:r>
        <w:rPr>
          <w:b/>
          <w:bCs/>
          <w:color w:val="1B2A5E"/>
          <w:sz w:val="26"/>
          <w:szCs w:val="26"/>
        </w:rPr>
        <w:t xml:space="preserve">10.  Obligations of Covered Entity</w:t>
      </w:r>
    </w:p>
    <w:p>
      <w:pPr>
        <w:spacing w:after="130" w:line="276"/>
        <w:ind w:left="720" w:hanging="720"/>
      </w:pPr>
      <w:r>
        <w:rPr>
          <w:b/>
          <w:bCs/>
          <w:sz w:val="21"/>
          <w:szCs w:val="21"/>
        </w:rPr>
        <w:t xml:space="preserve">10.1	</w:t>
      </w:r>
      <w:r>
        <w:rPr>
          <w:sz w:val="21"/>
          <w:szCs w:val="21"/>
        </w:rPr>
        <w:t xml:space="preserve">Covered Entity shall notify Business Associate in writing of any limitation in its Notice of Privacy Practices, of any change in or revocation of an individual's permission to use or disclose PHI, and of any restriction agreed to under 45 CFR § 164.522, in each case to the extent it affects Business Associate's permitted uses or disclosures.</w:t>
      </w:r>
    </w:p>
    <w:p>
      <w:pPr>
        <w:spacing w:after="130" w:line="276"/>
        <w:ind w:left="720" w:hanging="720"/>
      </w:pPr>
      <w:r>
        <w:rPr>
          <w:b/>
          <w:bCs/>
          <w:sz w:val="21"/>
          <w:szCs w:val="21"/>
        </w:rPr>
        <w:t xml:space="preserve">10.2	</w:t>
      </w:r>
      <w:r>
        <w:rPr>
          <w:sz w:val="21"/>
          <w:szCs w:val="21"/>
        </w:rPr>
        <w:t xml:space="preserve">Covered Entity shall not request that Business Associate use or disclose PHI in any manner that would not be permissible under Subpart E of 45 CFR Part 164 if done by Covered Entity, except as permitted under Sections 4.4 and 4.5.</w:t>
      </w:r>
    </w:p>
    <w:p>
      <w:pPr>
        <w:spacing w:after="130" w:line="276"/>
        <w:ind w:left="720" w:hanging="720"/>
      </w:pPr>
      <w:r>
        <w:rPr>
          <w:b/>
          <w:bCs/>
          <w:sz w:val="21"/>
          <w:szCs w:val="21"/>
        </w:rPr>
        <w:t xml:space="preserve">10.3	</w:t>
      </w:r>
      <w:r>
        <w:rPr>
          <w:sz w:val="21"/>
          <w:szCs w:val="21"/>
        </w:rPr>
        <w:t xml:space="preserve">Covered Entity shall not disclose PHI to Business Associate beyond the minimum necessary for Business Associate to perform the Services, and shall not place PHI into any field, ticket, or communication channel of the Endpoint Shield Solutions platform that is not designated for that purpose.</w:t>
      </w:r>
    </w:p>
    <w:p>
      <w:pPr>
        <w:spacing w:after="130" w:line="276"/>
        <w:ind w:left="720" w:hanging="720"/>
      </w:pPr>
      <w:r>
        <w:rPr>
          <w:b/>
          <w:bCs/>
          <w:sz w:val="21"/>
          <w:szCs w:val="21"/>
        </w:rPr>
        <w:t xml:space="preserve">10.4	</w:t>
      </w:r>
      <w:r>
        <w:rPr>
          <w:sz w:val="21"/>
          <w:szCs w:val="21"/>
        </w:rPr>
        <w:t xml:space="preserve">Covered Entity is responsible for the security, configuration, and physical protection of its own premises, network, and any systems or devices not enrolled in the Services, and for its own workforce training, policies, and compliance program.</w:t>
      </w:r>
    </w:p>
    <w:p>
      <w:pPr>
        <w:pStyle w:val="Heading1"/>
        <w:spacing w:after="160" w:before="340"/>
      </w:pPr>
      <w:r>
        <w:rPr>
          <w:b/>
          <w:bCs/>
          <w:color w:val="1B2A5E"/>
          <w:sz w:val="26"/>
          <w:szCs w:val="26"/>
        </w:rPr>
        <w:t xml:space="preserve">11.  Miscellaneous</w:t>
      </w:r>
    </w:p>
    <w:p>
      <w:pPr>
        <w:spacing w:after="130" w:line="276"/>
        <w:ind w:left="720" w:hanging="720"/>
      </w:pPr>
      <w:r>
        <w:rPr>
          <w:b/>
          <w:bCs/>
          <w:sz w:val="21"/>
          <w:szCs w:val="21"/>
        </w:rPr>
        <w:t xml:space="preserve">11.1	</w:t>
      </w:r>
      <w:r>
        <w:rPr>
          <w:sz w:val="21"/>
          <w:szCs w:val="21"/>
        </w:rPr>
        <w:t xml:space="preserve">Regulatory References. A reference in this Agreement to a section of HIPAA means the section as in effect or as amended, and for which compliance is required.</w:t>
      </w:r>
    </w:p>
    <w:p>
      <w:pPr>
        <w:spacing w:after="130" w:line="276"/>
        <w:ind w:left="720" w:hanging="720"/>
      </w:pPr>
      <w:r>
        <w:rPr>
          <w:b/>
          <w:bCs/>
          <w:sz w:val="21"/>
          <w:szCs w:val="21"/>
        </w:rPr>
        <w:t xml:space="preserve">11.2	</w:t>
      </w:r>
      <w:r>
        <w:rPr>
          <w:sz w:val="21"/>
          <w:szCs w:val="21"/>
        </w:rPr>
        <w:t xml:space="preserve">Amendment. The Parties agree to take such action as is necessary to amend this Agreement from time to time as is necessary for the Parties to comply with the requirements of HIPAA and any other applicable law. Any amendment must be in writing and signed by both Parties.</w:t>
      </w:r>
    </w:p>
    <w:p>
      <w:pPr>
        <w:spacing w:after="130" w:line="276"/>
        <w:ind w:left="720" w:hanging="720"/>
      </w:pPr>
      <w:r>
        <w:rPr>
          <w:b/>
          <w:bCs/>
          <w:sz w:val="21"/>
          <w:szCs w:val="21"/>
        </w:rPr>
        <w:t xml:space="preserve">11.3	</w:t>
      </w:r>
      <w:r>
        <w:rPr>
          <w:sz w:val="21"/>
          <w:szCs w:val="21"/>
        </w:rPr>
        <w:t xml:space="preserve">Interpretation. Any ambiguity in this Agreement shall be resolved to permit compliance with HIPAA. In the event of a conflict between this Agreement and the Underlying Agreement with respect to PHI, this Agreement controls.</w:t>
      </w:r>
    </w:p>
    <w:p>
      <w:pPr>
        <w:spacing w:after="130" w:line="276"/>
        <w:ind w:left="720" w:hanging="720"/>
      </w:pPr>
      <w:r>
        <w:rPr>
          <w:b/>
          <w:bCs/>
          <w:sz w:val="21"/>
          <w:szCs w:val="21"/>
        </w:rPr>
        <w:t xml:space="preserve">11.4	</w:t>
      </w:r>
      <w:r>
        <w:rPr>
          <w:sz w:val="21"/>
          <w:szCs w:val="21"/>
        </w:rPr>
        <w:t xml:space="preserve">No Third-Party Beneficiaries. Nothing in this Agreement is intended to confer, nor shall anything herein confer, upon any person other than the Parties and their respective successors and permitted assigns any rights, remedies, obligations, or liabilities whatsoever.</w:t>
      </w:r>
    </w:p>
    <w:p>
      <w:pPr>
        <w:spacing w:after="130" w:line="276"/>
        <w:ind w:left="720" w:hanging="720"/>
      </w:pPr>
      <w:r>
        <w:rPr>
          <w:b/>
          <w:bCs/>
          <w:sz w:val="21"/>
          <w:szCs w:val="21"/>
        </w:rPr>
        <w:t xml:space="preserve">11.5	</w:t>
      </w:r>
      <w:r>
        <w:rPr>
          <w:sz w:val="21"/>
          <w:szCs w:val="21"/>
        </w:rPr>
        <w:t xml:space="preserve">Assignment. Neither Party may assign this Agreement without the prior written consent of the other Party, except to a successor in interest by merger, acquisition, or sale of substantially all assets, provided the successor assumes all obligations hereunder in writing.</w:t>
      </w:r>
    </w:p>
    <w:p>
      <w:pPr>
        <w:spacing w:after="130" w:line="276"/>
        <w:ind w:left="720" w:hanging="720"/>
      </w:pPr>
      <w:r>
        <w:rPr>
          <w:b/>
          <w:bCs/>
          <w:sz w:val="21"/>
          <w:szCs w:val="21"/>
        </w:rPr>
        <w:t xml:space="preserve">11.6	</w:t>
      </w:r>
      <w:r>
        <w:rPr>
          <w:sz w:val="21"/>
          <w:szCs w:val="21"/>
        </w:rPr>
        <w:t xml:space="preserve">Notices. All notices under this Agreement shall be in writing and delivered to the addresses set forth in Schedule B, by personal delivery, nationally recognized overnight courier, or certified mail, and shall be deemed given upon receipt. Breach notifications under Section 3 shall additionally be delivered by the expedited means specified in Section 3.7.</w:t>
      </w:r>
    </w:p>
    <w:p>
      <w:pPr>
        <w:spacing w:after="130" w:line="276"/>
        <w:ind w:left="720" w:hanging="720"/>
      </w:pPr>
      <w:r>
        <w:rPr>
          <w:b/>
          <w:bCs/>
          <w:sz w:val="21"/>
          <w:szCs w:val="21"/>
        </w:rPr>
        <w:t xml:space="preserve">11.7	</w:t>
      </w:r>
      <w:r>
        <w:rPr>
          <w:sz w:val="21"/>
          <w:szCs w:val="21"/>
        </w:rPr>
        <w:t xml:space="preserve">Governing Law. This Agreement is governed by and construed in accordance with the laws of the State of [STATE], without regard to its conflict-of-laws principles, except to the extent preempted by federal law.</w:t>
      </w:r>
    </w:p>
    <w:p>
      <w:pPr>
        <w:spacing w:after="130" w:line="276"/>
        <w:ind w:left="720" w:hanging="720"/>
      </w:pPr>
      <w:r>
        <w:rPr>
          <w:b/>
          <w:bCs/>
          <w:sz w:val="21"/>
          <w:szCs w:val="21"/>
        </w:rPr>
        <w:t xml:space="preserve">11.8	</w:t>
      </w:r>
      <w:r>
        <w:rPr>
          <w:sz w:val="21"/>
          <w:szCs w:val="21"/>
        </w:rPr>
        <w:t xml:space="preserve">Severability. If any provision of this Agreement is held invalid or unenforceable, the remaining provisions remain in full force and effect, and the invalid provision shall be reformed to the minimum extent necessary to make it enforceable while preserving the Parties' intent.</w:t>
      </w:r>
    </w:p>
    <w:p>
      <w:pPr>
        <w:spacing w:after="130" w:line="276"/>
        <w:ind w:left="720" w:hanging="720"/>
      </w:pPr>
      <w:r>
        <w:rPr>
          <w:b/>
          <w:bCs/>
          <w:sz w:val="21"/>
          <w:szCs w:val="21"/>
        </w:rPr>
        <w:t xml:space="preserve">11.9	</w:t>
      </w:r>
      <w:r>
        <w:rPr>
          <w:sz w:val="21"/>
          <w:szCs w:val="21"/>
        </w:rPr>
        <w:t xml:space="preserve">Counterparts and Electronic Signature. This Agreement may be executed in counterparts, each of which is an original and all of which together constitute one instrument. Electronic and digital signatures have the same effect as original signatures.</w:t>
      </w:r>
    </w:p>
    <w:p>
      <w:pPr>
        <w:spacing w:after="130" w:line="276"/>
        <w:ind w:left="720" w:hanging="720"/>
      </w:pPr>
      <w:r>
        <w:rPr>
          <w:b/>
          <w:bCs/>
          <w:sz w:val="21"/>
          <w:szCs w:val="21"/>
        </w:rPr>
        <w:t xml:space="preserve">11.10	</w:t>
      </w:r>
      <w:r>
        <w:rPr>
          <w:sz w:val="21"/>
          <w:szCs w:val="21"/>
        </w:rPr>
        <w:t xml:space="preserve">Entire Agreement. This Agreement, together with its Schedules and the Underlying Agreement, constitutes the entire agreement of the Parties with respect to PHI and supersedes all prior and contemporaneous understandings on that subject.</w:t>
      </w:r>
    </w:p>
    <w:p>
      <w:pPr>
        <w:pBdr>
          <w:bottom w:val="single" w:color="7B3FF2" w:sz="6"/>
        </w:pBdr>
        <w:spacing w:after="200" w:before="140"/>
      </w:pPr>
      <w:r>
        <w:rPr>
          <w:sz w:val="2"/>
          <w:szCs w:val="2"/>
        </w:rPr>
        <w:t xml:space="preserve"/>
      </w:r>
    </w:p>
    <w:p>
      <w:pPr>
        <w:spacing w:after="380" w:line="276"/>
      </w:pPr>
      <w:r>
        <w:rPr>
          <w:b/>
          <w:bCs/>
          <w:color w:val="000000"/>
          <w:sz w:val="21"/>
          <w:szCs w:val="21"/>
        </w:rPr>
        <w:t xml:space="preserve">IN WITNESS WHEREOF, the Parties have caused this Agreement to be executed by their duly authorized representatives as of the Effective Date.</w:t>
      </w:r>
    </w:p>
    <w:p>
      <w:pPr>
        <w:spacing w:after="60" w:line="276"/>
      </w:pPr>
      <w:r>
        <w:rPr>
          <w:b/>
          <w:bCs/>
          <w:color w:val="000000"/>
          <w:sz w:val="21"/>
          <w:szCs w:val="21"/>
        </w:rPr>
        <w:t xml:space="preserve">COVERED ENTITY</w:t>
      </w:r>
    </w:p>
    <w:p>
      <w:pPr>
        <w:spacing w:after="240" w:line="276"/>
      </w:pPr>
      <w:r>
        <w:rPr>
          <w:color w:val="555555"/>
          <w:sz w:val="21"/>
          <w:szCs w:val="21"/>
        </w:rPr>
        <w:t xml:space="preserve">[CLIENT LEGAL NAME]</w:t>
      </w:r>
    </w:p>
    <w:p>
      <w:pPr>
        <w:spacing w:after="130" w:line="276"/>
      </w:pPr>
      <w:r>
        <w:rPr>
          <w:color w:val="000000"/>
          <w:sz w:val="21"/>
          <w:szCs w:val="21"/>
        </w:rPr>
        <w:t xml:space="preserve">By: ______________________________________________</w:t>
      </w:r>
    </w:p>
    <w:p>
      <w:pPr>
        <w:spacing w:after="130" w:line="276"/>
      </w:pPr>
      <w:r>
        <w:rPr>
          <w:color w:val="000000"/>
          <w:sz w:val="21"/>
          <w:szCs w:val="21"/>
        </w:rPr>
        <w:t xml:space="preserve">Printed name: _____________________________________</w:t>
      </w:r>
    </w:p>
    <w:p>
      <w:pPr>
        <w:spacing w:after="130" w:line="276"/>
      </w:pPr>
      <w:r>
        <w:rPr>
          <w:color w:val="000000"/>
          <w:sz w:val="21"/>
          <w:szCs w:val="21"/>
        </w:rPr>
        <w:t xml:space="preserve">Title: _____________________________________________</w:t>
      </w:r>
    </w:p>
    <w:p>
      <w:pPr>
        <w:spacing w:after="340" w:line="276"/>
      </w:pPr>
      <w:r>
        <w:rPr>
          <w:color w:val="000000"/>
          <w:sz w:val="21"/>
          <w:szCs w:val="21"/>
        </w:rPr>
        <w:t xml:space="preserve">Date: _____________________________________________</w:t>
      </w:r>
    </w:p>
    <w:p>
      <w:pPr>
        <w:spacing w:after="60" w:line="276"/>
      </w:pPr>
      <w:r>
        <w:rPr>
          <w:b/>
          <w:bCs/>
          <w:color w:val="000000"/>
          <w:sz w:val="21"/>
          <w:szCs w:val="21"/>
        </w:rPr>
        <w:t xml:space="preserve">BUSINESS ASSOCIATE</w:t>
      </w:r>
    </w:p>
    <w:p>
      <w:pPr>
        <w:spacing w:after="240" w:line="276"/>
      </w:pPr>
      <w:r>
        <w:rPr>
          <w:color w:val="555555"/>
          <w:sz w:val="21"/>
          <w:szCs w:val="21"/>
        </w:rPr>
        <w:t xml:space="preserve">Endpoint Shield Solutions</w:t>
      </w:r>
    </w:p>
    <w:p>
      <w:pPr>
        <w:spacing w:after="130" w:line="276"/>
      </w:pPr>
      <w:r>
        <w:rPr>
          <w:color w:val="000000"/>
          <w:sz w:val="21"/>
          <w:szCs w:val="21"/>
        </w:rPr>
        <w:t xml:space="preserve">By: ______________________________________________</w:t>
      </w:r>
    </w:p>
    <w:p>
      <w:pPr>
        <w:spacing w:after="130" w:line="276"/>
      </w:pPr>
      <w:r>
        <w:rPr>
          <w:color w:val="000000"/>
          <w:sz w:val="21"/>
          <w:szCs w:val="21"/>
        </w:rPr>
        <w:t xml:space="preserve">Printed name: _____________________________________</w:t>
      </w:r>
    </w:p>
    <w:p>
      <w:pPr>
        <w:spacing w:after="130" w:line="276"/>
      </w:pPr>
      <w:r>
        <w:rPr>
          <w:color w:val="000000"/>
          <w:sz w:val="21"/>
          <w:szCs w:val="21"/>
        </w:rPr>
        <w:t xml:space="preserve">Title: _____________________________________________</w:t>
      </w:r>
    </w:p>
    <w:p>
      <w:pPr>
        <w:spacing w:after="340" w:line="276"/>
      </w:pPr>
      <w:r>
        <w:rPr>
          <w:color w:val="000000"/>
          <w:sz w:val="21"/>
          <w:szCs w:val="21"/>
        </w:rPr>
        <w:t xml:space="preserve">Date: _____________________________________________</w:t>
      </w:r>
    </w:p>
    <w:p>
      <w:r>
        <w:br w:type="page"/>
      </w:r>
    </w:p>
    <w:p>
      <w:pPr>
        <w:pStyle w:val="Heading1"/>
        <w:spacing w:after="160" w:before="340"/>
      </w:pPr>
      <w:r>
        <w:rPr>
          <w:b/>
          <w:bCs/>
          <w:color w:val="1B2A5E"/>
          <w:sz w:val="26"/>
          <w:szCs w:val="26"/>
        </w:rPr>
        <w:t xml:space="preserve">Schedule A — Pre-Signature Control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70"/>
              <w:left w:type="dxa" w:w="210"/>
              <w:bottom w:type="dxa" w:w="170"/>
              <w:right w:type="dxa" w:w="210"/>
            </w:tcMar>
          </w:tcPr>
          <w:p>
            <w:pPr>
              <w:spacing w:after="110"/>
            </w:pPr>
            <w:r>
              <w:rPr>
                <w:b/>
                <w:bCs/>
                <w:color w:val="8A4B00"/>
                <w:sz w:val="21"/>
                <w:szCs w:val="21"/>
              </w:rPr>
              <w:t xml:space="preserve">INTERNAL USE ONLY — REMOVE BEFORE SENDING TO A CLIENT</w:t>
            </w:r>
          </w:p>
          <w:p>
            <w:pPr>
              <w:spacing w:after="90" w:line="276"/>
            </w:pPr>
            <w:r>
              <w:rPr>
                <w:color w:val="5C3200"/>
                <w:sz w:val="20"/>
                <w:szCs w:val="20"/>
              </w:rPr>
              <w:t xml:space="preserve">Every item below is a representation made in the body of this Agreement. An unchecked box is a representation you cannot support. Complete this schedule before execution, then delete it from the client copy.</w:t>
            </w:r>
          </w:p>
        </w:tc>
      </w:tr>
    </w:tbl>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60"/>
        <w:gridCol w:w="2800"/>
      </w:tblGrid>
      <w:tr>
        <w:trPr>
          <w:tblHeader/>
        </w:trPr>
        <w:tc>
          <w:tcPr>
            <w:tcW w:type="dxa" w:w="700"/>
            <w:shd w:fill="1B2A5E" w:val="clear"/>
            <w:tcMar>
              <w:top w:type="dxa" w:w="100"/>
              <w:left w:type="dxa" w:w="130"/>
              <w:bottom w:type="dxa" w:w="100"/>
              <w:right w:type="dxa" w:w="130"/>
            </w:tcMar>
          </w:tcPr>
          <w:p>
            <w:r>
              <w:rPr>
                <w:b/>
                <w:bCs/>
                <w:color w:val="FFFFFF"/>
                <w:sz w:val="19"/>
                <w:szCs w:val="19"/>
              </w:rPr>
              <w:t xml:space="preserve">✓</w:t>
            </w:r>
          </w:p>
        </w:tc>
        <w:tc>
          <w:tcPr>
            <w:tcW w:type="dxa" w:w="5860"/>
            <w:shd w:fill="1B2A5E" w:val="clear"/>
            <w:tcMar>
              <w:top w:type="dxa" w:w="100"/>
              <w:left w:type="dxa" w:w="130"/>
              <w:bottom w:type="dxa" w:w="100"/>
              <w:right w:type="dxa" w:w="130"/>
            </w:tcMar>
          </w:tcPr>
          <w:p>
            <w:r>
              <w:rPr>
                <w:b/>
                <w:bCs/>
                <w:color w:val="FFFFFF"/>
                <w:sz w:val="19"/>
                <w:szCs w:val="19"/>
              </w:rPr>
              <w:t xml:space="preserve">Control or condition</w:t>
            </w:r>
          </w:p>
        </w:tc>
        <w:tc>
          <w:tcPr>
            <w:tcW w:type="dxa" w:w="2800"/>
            <w:shd w:fill="1B2A5E" w:val="clear"/>
            <w:tcMar>
              <w:top w:type="dxa" w:w="100"/>
              <w:left w:type="dxa" w:w="130"/>
              <w:bottom w:type="dxa" w:w="100"/>
              <w:right w:type="dxa" w:w="130"/>
            </w:tcMar>
          </w:tcPr>
          <w:p>
            <w:r>
              <w:rPr>
                <w:b/>
                <w:bCs/>
                <w:color w:val="FFFFFF"/>
                <w:sz w:val="19"/>
                <w:szCs w:val="19"/>
              </w:rPr>
              <w:t xml:space="preserve">Clause</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Named user accounts; no shared credentials</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Password hashing in production</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Per-client scoping enforced on every data route</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TLS 1.2+ enforced end to end</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Production signing secret set (not the dev default)</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Agent API key enforcement enabled</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CORS restricted to the production origin</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Audit logging of auth events and all record changes</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Six-year audit log retention</w:t>
            </w:r>
          </w:p>
        </w:tc>
        <w:tc>
          <w:tcPr>
            <w:tcW w:type="dxa" w:w="2800"/>
            <w:tcMar>
              <w:top w:type="dxa" w:w="100"/>
              <w:left w:type="dxa" w:w="130"/>
              <w:bottom w:type="dxa" w:w="100"/>
              <w:right w:type="dxa" w:w="130"/>
            </w:tcMar>
          </w:tcPr>
          <w:p>
            <w:r>
              <w:rPr>
                <w:sz w:val="19"/>
                <w:szCs w:val="19"/>
              </w:rPr>
              <w:t xml:space="preserve">2.2(c), 8.3</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Encryption at rest implemented, or bullet struck + rationale documented</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Automatic logoff on inactivity</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MFA on all administrative and technician accounts</w:t>
            </w:r>
          </w:p>
        </w:tc>
        <w:tc>
          <w:tcPr>
            <w:tcW w:type="dxa" w:w="2800"/>
            <w:tcMar>
              <w:top w:type="dxa" w:w="100"/>
              <w:left w:type="dxa" w:w="130"/>
              <w:bottom w:type="dxa" w:w="100"/>
              <w:right w:type="dxa" w:w="130"/>
            </w:tcMar>
          </w:tcPr>
          <w:p>
            <w:r>
              <w:rPr>
                <w:sz w:val="19"/>
                <w:szCs w:val="19"/>
              </w:rPr>
              <w:t xml:space="preserve">2.2(c)</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Written risk analysis completed</w:t>
            </w:r>
          </w:p>
        </w:tc>
        <w:tc>
          <w:tcPr>
            <w:tcW w:type="dxa" w:w="2800"/>
            <w:tcMar>
              <w:top w:type="dxa" w:w="100"/>
              <w:left w:type="dxa" w:w="130"/>
              <w:bottom w:type="dxa" w:w="100"/>
              <w:right w:type="dxa" w:w="130"/>
            </w:tcMar>
          </w:tcPr>
          <w:p>
            <w:r>
              <w:rPr>
                <w:sz w:val="19"/>
                <w:szCs w:val="19"/>
              </w:rPr>
              <w:t xml:space="preserve">2.2(a)</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Security official designated in writing</w:t>
            </w:r>
          </w:p>
        </w:tc>
        <w:tc>
          <w:tcPr>
            <w:tcW w:type="dxa" w:w="2800"/>
            <w:tcMar>
              <w:top w:type="dxa" w:w="100"/>
              <w:left w:type="dxa" w:w="130"/>
              <w:bottom w:type="dxa" w:w="100"/>
              <w:right w:type="dxa" w:w="130"/>
            </w:tcMar>
          </w:tcPr>
          <w:p>
            <w:r>
              <w:rPr>
                <w:sz w:val="19"/>
                <w:szCs w:val="19"/>
              </w:rPr>
              <w:t xml:space="preserve">2.2(a)</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Workforce HIPAA training delivered and documented</w:t>
            </w:r>
          </w:p>
        </w:tc>
        <w:tc>
          <w:tcPr>
            <w:tcW w:type="dxa" w:w="2800"/>
            <w:tcMar>
              <w:top w:type="dxa" w:w="100"/>
              <w:left w:type="dxa" w:w="130"/>
              <w:bottom w:type="dxa" w:w="100"/>
              <w:right w:type="dxa" w:w="130"/>
            </w:tcMar>
          </w:tcPr>
          <w:p>
            <w:r>
              <w:rPr>
                <w:sz w:val="19"/>
                <w:szCs w:val="19"/>
              </w:rPr>
              <w:t xml:space="preserve">2.2(a)</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Sanction policy written</w:t>
            </w:r>
          </w:p>
        </w:tc>
        <w:tc>
          <w:tcPr>
            <w:tcW w:type="dxa" w:w="2800"/>
            <w:tcMar>
              <w:top w:type="dxa" w:w="100"/>
              <w:left w:type="dxa" w:w="130"/>
              <w:bottom w:type="dxa" w:w="100"/>
              <w:right w:type="dxa" w:w="130"/>
            </w:tcMar>
          </w:tcPr>
          <w:p>
            <w:r>
              <w:rPr>
                <w:sz w:val="19"/>
                <w:szCs w:val="19"/>
              </w:rPr>
              <w:t xml:space="preserve">2.2(a)</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Incident response, backup, and DR plans written and tested</w:t>
            </w:r>
          </w:p>
        </w:tc>
        <w:tc>
          <w:tcPr>
            <w:tcW w:type="dxa" w:w="2800"/>
            <w:tcMar>
              <w:top w:type="dxa" w:w="100"/>
              <w:left w:type="dxa" w:w="130"/>
              <w:bottom w:type="dxa" w:w="100"/>
              <w:right w:type="dxa" w:w="130"/>
            </w:tcMar>
          </w:tcPr>
          <w:p>
            <w:r>
              <w:rPr>
                <w:sz w:val="19"/>
                <w:szCs w:val="19"/>
              </w:rPr>
              <w:t xml:space="preserve">2.2(a)</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Facility and device/media controls documented</w:t>
            </w:r>
          </w:p>
        </w:tc>
        <w:tc>
          <w:tcPr>
            <w:tcW w:type="dxa" w:w="2800"/>
            <w:tcMar>
              <w:top w:type="dxa" w:w="100"/>
              <w:left w:type="dxa" w:w="130"/>
              <w:bottom w:type="dxa" w:w="100"/>
              <w:right w:type="dxa" w:w="130"/>
            </w:tcMar>
          </w:tcPr>
          <w:p>
            <w:r>
              <w:rPr>
                <w:sz w:val="19"/>
                <w:szCs w:val="19"/>
              </w:rPr>
              <w:t xml:space="preserve">2.2(b)</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Schedule B coverage hours match actual staffing</w:t>
            </w:r>
          </w:p>
        </w:tc>
        <w:tc>
          <w:tcPr>
            <w:tcW w:type="dxa" w:w="2800"/>
            <w:tcMar>
              <w:top w:type="dxa" w:w="100"/>
              <w:left w:type="dxa" w:w="130"/>
              <w:bottom w:type="dxa" w:w="100"/>
              <w:right w:type="dxa" w:w="130"/>
            </w:tcMar>
          </w:tcPr>
          <w:p>
            <w:r>
              <w:rPr>
                <w:sz w:val="19"/>
                <w:szCs w:val="19"/>
              </w:rPr>
              <w:t xml:space="preserve">2.3, Sch. B</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72-hour breach notification is operationally achievable</w:t>
            </w:r>
          </w:p>
        </w:tc>
        <w:tc>
          <w:tcPr>
            <w:tcW w:type="dxa" w:w="2800"/>
            <w:tcMar>
              <w:top w:type="dxa" w:w="100"/>
              <w:left w:type="dxa" w:w="130"/>
              <w:bottom w:type="dxa" w:w="100"/>
              <w:right w:type="dxa" w:w="130"/>
            </w:tcMar>
          </w:tcPr>
          <w:p>
            <w:r>
              <w:rPr>
                <w:sz w:val="19"/>
                <w:szCs w:val="19"/>
              </w:rPr>
              <w:t xml:space="preserve">3.1</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Breach runbook written and tested; after-hours intake monitored</w:t>
            </w:r>
          </w:p>
        </w:tc>
        <w:tc>
          <w:tcPr>
            <w:tcW w:type="dxa" w:w="2800"/>
            <w:tcMar>
              <w:top w:type="dxa" w:w="100"/>
              <w:left w:type="dxa" w:w="130"/>
              <w:bottom w:type="dxa" w:w="100"/>
              <w:right w:type="dxa" w:w="130"/>
            </w:tcMar>
          </w:tcPr>
          <w:p>
            <w:r>
              <w:rPr>
                <w:sz w:val="19"/>
                <w:szCs w:val="19"/>
              </w:rPr>
              <w:t xml:space="preserve">3.1, 3.7</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Subcontractor BAAs executed (hosting, database, infrastructure)</w:t>
            </w:r>
          </w:p>
        </w:tc>
        <w:tc>
          <w:tcPr>
            <w:tcW w:type="dxa" w:w="2800"/>
            <w:tcMar>
              <w:top w:type="dxa" w:w="100"/>
              <w:left w:type="dxa" w:w="130"/>
              <w:bottom w:type="dxa" w:w="100"/>
              <w:right w:type="dxa" w:w="130"/>
            </w:tcMar>
          </w:tcPr>
          <w:p>
            <w:r>
              <w:rPr>
                <w:sz w:val="19"/>
                <w:szCs w:val="19"/>
              </w:rPr>
              <w:t xml:space="preserve">5.2</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Subcontractor register created</w:t>
            </w:r>
          </w:p>
        </w:tc>
        <w:tc>
          <w:tcPr>
            <w:tcW w:type="dxa" w:w="2800"/>
            <w:tcMar>
              <w:top w:type="dxa" w:w="100"/>
              <w:left w:type="dxa" w:w="130"/>
              <w:bottom w:type="dxa" w:w="100"/>
              <w:right w:type="dxa" w:w="130"/>
            </w:tcMar>
          </w:tcPr>
          <w:p>
            <w:r>
              <w:rPr>
                <w:sz w:val="19"/>
                <w:szCs w:val="19"/>
              </w:rPr>
              <w:t xml:space="preserve">5.3</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Secure destruction and certification procedure defined</w:t>
            </w:r>
          </w:p>
        </w:tc>
        <w:tc>
          <w:tcPr>
            <w:tcW w:type="dxa" w:w="2800"/>
            <w:tcMar>
              <w:top w:type="dxa" w:w="100"/>
              <w:left w:type="dxa" w:w="130"/>
              <w:bottom w:type="dxa" w:w="100"/>
              <w:right w:type="dxa" w:w="130"/>
            </w:tcMar>
          </w:tcPr>
          <w:p>
            <w:r>
              <w:rPr>
                <w:sz w:val="19"/>
                <w:szCs w:val="19"/>
              </w:rPr>
              <w:t xml:space="preserve">6.3</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Cyber liability / tech E&amp;O policy bound at stated limits</w:t>
            </w:r>
          </w:p>
        </w:tc>
        <w:tc>
          <w:tcPr>
            <w:tcW w:type="dxa" w:w="2800"/>
            <w:tcMar>
              <w:top w:type="dxa" w:w="100"/>
              <w:left w:type="dxa" w:w="130"/>
              <w:bottom w:type="dxa" w:w="100"/>
              <w:right w:type="dxa" w:w="130"/>
            </w:tcMar>
          </w:tcPr>
          <w:p>
            <w:r>
              <w:rPr>
                <w:sz w:val="19"/>
                <w:szCs w:val="19"/>
              </w:rPr>
              <w:t xml:space="preserve">7.5</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Liability cap and carve-outs reviewed against insurance limits</w:t>
            </w:r>
          </w:p>
        </w:tc>
        <w:tc>
          <w:tcPr>
            <w:tcW w:type="dxa" w:w="2800"/>
            <w:tcMar>
              <w:top w:type="dxa" w:w="100"/>
              <w:left w:type="dxa" w:w="130"/>
              <w:bottom w:type="dxa" w:w="100"/>
              <w:right w:type="dxa" w:w="130"/>
            </w:tcMar>
          </w:tcPr>
          <w:p>
            <w:r>
              <w:rPr>
                <w:sz w:val="19"/>
                <w:szCs w:val="19"/>
              </w:rPr>
              <w:t xml:space="preserve">7.4</w:t>
            </w:r>
          </w:p>
        </w:tc>
      </w:tr>
      <w:tr>
        <w:tc>
          <w:tcPr>
            <w:tcW w:type="dxa" w:w="700"/>
            <w:tcMar>
              <w:top w:type="dxa" w:w="100"/>
              <w:left w:type="dxa" w:w="130"/>
              <w:bottom w:type="dxa" w:w="100"/>
              <w:right w:type="dxa" w:w="130"/>
            </w:tcMar>
          </w:tcPr>
          <w:p>
            <w:r>
              <w:rPr>
                <w:sz w:val="19"/>
                <w:szCs w:val="19"/>
              </w:rPr>
              <w:t xml:space="preserve">☐</w:t>
            </w:r>
          </w:p>
        </w:tc>
        <w:tc>
          <w:tcPr>
            <w:tcW w:type="dxa" w:w="5860"/>
            <w:tcMar>
              <w:top w:type="dxa" w:w="100"/>
              <w:left w:type="dxa" w:w="130"/>
              <w:bottom w:type="dxa" w:w="100"/>
              <w:right w:type="dxa" w:w="130"/>
            </w:tcMar>
          </w:tcPr>
          <w:p>
            <w:r>
              <w:rPr>
                <w:sz w:val="19"/>
                <w:szCs w:val="19"/>
              </w:rPr>
              <w:t xml:space="preserve">Reviewed by healthcare counsel licensed in the governing state</w:t>
            </w:r>
          </w:p>
        </w:tc>
        <w:tc>
          <w:tcPr>
            <w:tcW w:type="dxa" w:w="2800"/>
            <w:tcMar>
              <w:top w:type="dxa" w:w="100"/>
              <w:left w:type="dxa" w:w="130"/>
              <w:bottom w:type="dxa" w:w="100"/>
              <w:right w:type="dxa" w:w="130"/>
            </w:tcMar>
          </w:tcPr>
          <w:p>
            <w:r>
              <w:rPr>
                <w:sz w:val="19"/>
                <w:szCs w:val="19"/>
              </w:rPr>
              <w:t xml:space="preserve">Entire</w:t>
            </w:r>
          </w:p>
        </w:tc>
      </w:tr>
    </w:tbl>
    <w:p>
      <w:r>
        <w:br w:type="page"/>
      </w:r>
    </w:p>
    <w:p>
      <w:pPr>
        <w:pStyle w:val="Heading1"/>
        <w:spacing w:after="160" w:before="340"/>
      </w:pPr>
      <w:r>
        <w:rPr>
          <w:b/>
          <w:bCs/>
          <w:color w:val="1B2A5E"/>
          <w:sz w:val="26"/>
          <w:szCs w:val="26"/>
        </w:rPr>
        <w:t xml:space="preserve">Schedule B — Services, Coverage, and Notice Contacts</w:t>
      </w:r>
    </w:p>
    <w:p>
      <w:pPr>
        <w:spacing w:after="150" w:line="276"/>
      </w:pPr>
      <w:r>
        <w:rPr>
          <w:color w:val="000000"/>
          <w:sz w:val="21"/>
          <w:szCs w:val="21"/>
        </w:rPr>
        <w:t xml:space="preserve">This Schedule is part of the Agreement and is provided to Covered Entity. Complete every field. Do not leave a placeholder in an executed agreement.</w:t>
      </w:r>
    </w:p>
    <w:p>
      <w:pPr>
        <w:pStyle w:val="Heading2"/>
        <w:spacing w:after="110" w:before="230"/>
      </w:pPr>
      <w:r>
        <w:rPr>
          <w:b/>
          <w:bCs/>
          <w:color w:val="1B2A5E"/>
          <w:sz w:val="22"/>
          <w:szCs w:val="22"/>
        </w:rPr>
        <w:t xml:space="preserve">B.1  Enrolled Endpoints</w:t>
      </w:r>
    </w:p>
    <w:p>
      <w:pPr>
        <w:spacing w:after="150" w:line="276"/>
      </w:pPr>
      <w:r>
        <w:rPr>
          <w:color w:val="000000"/>
          <w:sz w:val="21"/>
          <w:szCs w:val="21"/>
        </w:rPr>
        <w:t xml:space="preserve">Endpoints enrolled in monitoring as of the Effective Date: [NUMBER]. Locations covered: [LIST]. Endpoints are added or removed by written request; only enrolled endpoints are within scope.</w:t>
      </w:r>
    </w:p>
    <w:p>
      <w:pPr>
        <w:pStyle w:val="Heading2"/>
        <w:spacing w:after="110" w:before="230"/>
      </w:pPr>
      <w:r>
        <w:rPr>
          <w:b/>
          <w:bCs/>
          <w:color w:val="1B2A5E"/>
          <w:sz w:val="22"/>
          <w:szCs w:val="22"/>
        </w:rPr>
        <w:t xml:space="preserve">B.2  Monitoring and Response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B2A5E" w:val="clear"/>
            <w:tcMar>
              <w:top w:type="dxa" w:w="100"/>
              <w:left w:type="dxa" w:w="130"/>
              <w:bottom w:type="dxa" w:w="100"/>
              <w:right w:type="dxa" w:w="130"/>
            </w:tcMar>
          </w:tcPr>
          <w:p>
            <w:r>
              <w:rPr>
                <w:b/>
                <w:bCs/>
                <w:color w:val="FFFFFF"/>
                <w:sz w:val="19"/>
                <w:szCs w:val="19"/>
              </w:rPr>
              <w:t xml:space="preserve">Element</w:t>
            </w:r>
          </w:p>
        </w:tc>
        <w:tc>
          <w:tcPr>
            <w:tcW w:type="dxa" w:w="5960"/>
            <w:shd w:fill="1B2A5E" w:val="clear"/>
            <w:tcMar>
              <w:top w:type="dxa" w:w="100"/>
              <w:left w:type="dxa" w:w="130"/>
              <w:bottom w:type="dxa" w:w="100"/>
              <w:right w:type="dxa" w:w="130"/>
            </w:tcMar>
          </w:tcPr>
          <w:p>
            <w:r>
              <w:rPr>
                <w:b/>
                <w:bCs/>
                <w:color w:val="FFFFFF"/>
                <w:sz w:val="19"/>
                <w:szCs w:val="19"/>
              </w:rPr>
              <w:t xml:space="preserve">Commitment</w:t>
            </w:r>
          </w:p>
        </w:tc>
      </w:tr>
      <w:tr>
        <w:tc>
          <w:tcPr>
            <w:tcW w:type="dxa" w:w="3400"/>
            <w:tcMar>
              <w:top w:type="dxa" w:w="100"/>
              <w:left w:type="dxa" w:w="130"/>
              <w:bottom w:type="dxa" w:w="100"/>
              <w:right w:type="dxa" w:w="130"/>
            </w:tcMar>
          </w:tcPr>
          <w:p>
            <w:r>
              <w:rPr>
                <w:sz w:val="19"/>
                <w:szCs w:val="19"/>
              </w:rPr>
              <w:t xml:space="preserve">Automated telemetry collection</w:t>
            </w:r>
          </w:p>
        </w:tc>
        <w:tc>
          <w:tcPr>
            <w:tcW w:type="dxa" w:w="5960"/>
            <w:tcMar>
              <w:top w:type="dxa" w:w="100"/>
              <w:left w:type="dxa" w:w="130"/>
              <w:bottom w:type="dxa" w:w="100"/>
              <w:right w:type="dxa" w:w="130"/>
            </w:tcMar>
          </w:tcPr>
          <w:p>
            <w:r>
              <w:rPr>
                <w:sz w:val="19"/>
                <w:szCs w:val="19"/>
              </w:rPr>
              <w:t xml:space="preserve">Continuous — endpoints report on a recurring interval, 24 hours a day</w:t>
            </w:r>
          </w:p>
        </w:tc>
      </w:tr>
      <w:tr>
        <w:tc>
          <w:tcPr>
            <w:tcW w:type="dxa" w:w="3400"/>
            <w:tcMar>
              <w:top w:type="dxa" w:w="100"/>
              <w:left w:type="dxa" w:w="130"/>
              <w:bottom w:type="dxa" w:w="100"/>
              <w:right w:type="dxa" w:w="130"/>
            </w:tcMar>
          </w:tcPr>
          <w:p>
            <w:r>
              <w:rPr>
                <w:sz w:val="19"/>
                <w:szCs w:val="19"/>
              </w:rPr>
              <w:t xml:space="preserve">Monitored reporting interval</w:t>
            </w:r>
          </w:p>
        </w:tc>
        <w:tc>
          <w:tcPr>
            <w:tcW w:type="dxa" w:w="5960"/>
            <w:tcMar>
              <w:top w:type="dxa" w:w="100"/>
              <w:left w:type="dxa" w:w="130"/>
              <w:bottom w:type="dxa" w:w="100"/>
              <w:right w:type="dxa" w:w="130"/>
            </w:tcMar>
          </w:tcPr>
          <w:p>
            <w:r>
              <w:rPr>
                <w:sz w:val="19"/>
                <w:szCs w:val="19"/>
              </w:rPr>
              <w:t xml:space="preserve">[e.g. every 60 seconds]</w:t>
            </w:r>
          </w:p>
        </w:tc>
      </w:tr>
      <w:tr>
        <w:tc>
          <w:tcPr>
            <w:tcW w:type="dxa" w:w="3400"/>
            <w:tcMar>
              <w:top w:type="dxa" w:w="100"/>
              <w:left w:type="dxa" w:w="130"/>
              <w:bottom w:type="dxa" w:w="100"/>
              <w:right w:type="dxa" w:w="130"/>
            </w:tcMar>
          </w:tcPr>
          <w:p>
            <w:r>
              <w:rPr>
                <w:sz w:val="19"/>
                <w:szCs w:val="19"/>
              </w:rPr>
              <w:t xml:space="preserve">Human review and escalation hours</w:t>
            </w:r>
          </w:p>
        </w:tc>
        <w:tc>
          <w:tcPr>
            <w:tcW w:type="dxa" w:w="5960"/>
            <w:tcMar>
              <w:top w:type="dxa" w:w="100"/>
              <w:left w:type="dxa" w:w="130"/>
              <w:bottom w:type="dxa" w:w="100"/>
              <w:right w:type="dxa" w:w="130"/>
            </w:tcMar>
          </w:tcPr>
          <w:p>
            <w:r>
              <w:rPr>
                <w:sz w:val="19"/>
                <w:szCs w:val="19"/>
              </w:rPr>
              <w:t xml:space="preserve">[e.g. Monday–Friday, 8:00 a.m. – 6:00 p.m. Eastern, excluding public holidays]</w:t>
            </w:r>
          </w:p>
        </w:tc>
      </w:tr>
      <w:tr>
        <w:tc>
          <w:tcPr>
            <w:tcW w:type="dxa" w:w="3400"/>
            <w:tcMar>
              <w:top w:type="dxa" w:w="100"/>
              <w:left w:type="dxa" w:w="130"/>
              <w:bottom w:type="dxa" w:w="100"/>
              <w:right w:type="dxa" w:w="130"/>
            </w:tcMar>
          </w:tcPr>
          <w:p>
            <w:r>
              <w:rPr>
                <w:sz w:val="19"/>
                <w:szCs w:val="19"/>
              </w:rPr>
              <w:t xml:space="preserve">Target response to loss of endpoint reporting</w:t>
            </w:r>
          </w:p>
        </w:tc>
        <w:tc>
          <w:tcPr>
            <w:tcW w:type="dxa" w:w="5960"/>
            <w:tcMar>
              <w:top w:type="dxa" w:w="100"/>
              <w:left w:type="dxa" w:w="130"/>
              <w:bottom w:type="dxa" w:w="100"/>
              <w:right w:type="dxa" w:w="130"/>
            </w:tcMar>
          </w:tcPr>
          <w:p>
            <w:r>
              <w:rPr>
                <w:sz w:val="19"/>
                <w:szCs w:val="19"/>
              </w:rPr>
              <w:t xml:space="preserve">[e.g. within 4 business hours]</w:t>
            </w:r>
          </w:p>
        </w:tc>
      </w:tr>
      <w:tr>
        <w:tc>
          <w:tcPr>
            <w:tcW w:type="dxa" w:w="3400"/>
            <w:tcMar>
              <w:top w:type="dxa" w:w="100"/>
              <w:left w:type="dxa" w:w="130"/>
              <w:bottom w:type="dxa" w:w="100"/>
              <w:right w:type="dxa" w:w="130"/>
            </w:tcMar>
          </w:tcPr>
          <w:p>
            <w:r>
              <w:rPr>
                <w:sz w:val="19"/>
                <w:szCs w:val="19"/>
              </w:rPr>
              <w:t xml:space="preserve">After-hours coverage</w:t>
            </w:r>
          </w:p>
        </w:tc>
        <w:tc>
          <w:tcPr>
            <w:tcW w:type="dxa" w:w="5960"/>
            <w:tcMar>
              <w:top w:type="dxa" w:w="100"/>
              <w:left w:type="dxa" w:w="130"/>
              <w:bottom w:type="dxa" w:w="100"/>
              <w:right w:type="dxa" w:w="130"/>
            </w:tcMar>
          </w:tcPr>
          <w:p>
            <w:r>
              <w:rPr>
                <w:sz w:val="19"/>
                <w:szCs w:val="19"/>
              </w:rPr>
              <w:t xml:space="preserve">[State honestly: none / on-call rotation / 24x7 staffed]</w:t>
            </w:r>
          </w:p>
        </w:tc>
      </w:tr>
      <w:tr>
        <w:tc>
          <w:tcPr>
            <w:tcW w:type="dxa" w:w="3400"/>
            <w:tcMar>
              <w:top w:type="dxa" w:w="100"/>
              <w:left w:type="dxa" w:w="130"/>
              <w:bottom w:type="dxa" w:w="100"/>
              <w:right w:type="dxa" w:w="130"/>
            </w:tcMar>
          </w:tcPr>
          <w:p>
            <w:r>
              <w:rPr>
                <w:sz w:val="19"/>
                <w:szCs w:val="19"/>
              </w:rPr>
              <w:t xml:space="preserve">Written monitoring report interval</w:t>
            </w:r>
          </w:p>
        </w:tc>
        <w:tc>
          <w:tcPr>
            <w:tcW w:type="dxa" w:w="5960"/>
            <w:tcMar>
              <w:top w:type="dxa" w:w="100"/>
              <w:left w:type="dxa" w:w="130"/>
              <w:bottom w:type="dxa" w:w="100"/>
              <w:right w:type="dxa" w:w="130"/>
            </w:tcMar>
          </w:tcPr>
          <w:p>
            <w:r>
              <w:rPr>
                <w:sz w:val="19"/>
                <w:szCs w:val="19"/>
              </w:rPr>
              <w:t xml:space="preserve">[e.g. monthly, within 5 business days of month end]</w:t>
            </w:r>
          </w:p>
        </w:tc>
      </w:tr>
    </w:tbl>
    <w:p>
      <w:pPr>
        <w:pBdr>
          <w:left w:val="single" w:color="7B3FF2" w:sz="12" w:space="12"/>
        </w:pBdr>
        <w:spacing w:after="170" w:before="60" w:line="276"/>
        <w:ind w:left="720"/>
      </w:pPr>
      <w:r>
        <w:rPr>
          <w:i/>
          <w:iCs/>
          <w:color w:val="4A3A6B"/>
          <w:sz w:val="19"/>
          <w:szCs w:val="19"/>
        </w:rPr>
        <w:t xml:space="preserve">DRAFTING NOTE — Section 2.3 of the Agreement points here rather than making a bare coverage claim in the body. That is deliberate: it lets the Agreement be accurate today and remain accurate as your staffing grows, by amending one schedule rather than renegotiating the contract. Fill this in with what you can actually deliver on a Saturday in December.</w:t>
      </w:r>
    </w:p>
    <w:p>
      <w:pPr>
        <w:pStyle w:val="Heading2"/>
        <w:spacing w:after="110" w:before="230"/>
      </w:pPr>
      <w:r>
        <w:rPr>
          <w:b/>
          <w:bCs/>
          <w:color w:val="1B2A5E"/>
          <w:sz w:val="22"/>
          <w:szCs w:val="22"/>
        </w:rPr>
        <w:t xml:space="preserve">B.3  Breach and Security Incident Notice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660"/>
        <w:gridCol w:w="2000"/>
      </w:tblGrid>
      <w:tr>
        <w:trPr>
          <w:tblHeader/>
        </w:trPr>
        <w:tc>
          <w:tcPr>
            <w:tcW w:type="dxa" w:w="1900"/>
            <w:shd w:fill="1B2A5E" w:val="clear"/>
            <w:tcMar>
              <w:top w:type="dxa" w:w="100"/>
              <w:left w:type="dxa" w:w="130"/>
              <w:bottom w:type="dxa" w:w="100"/>
              <w:right w:type="dxa" w:w="130"/>
            </w:tcMar>
          </w:tcPr>
          <w:p>
            <w:r>
              <w:rPr>
                <w:b/>
                <w:bCs/>
                <w:color w:val="FFFFFF"/>
                <w:sz w:val="19"/>
                <w:szCs w:val="19"/>
              </w:rPr>
              <w:t xml:space="preserve">Party</w:t>
            </w:r>
          </w:p>
        </w:tc>
        <w:tc>
          <w:tcPr>
            <w:tcW w:type="dxa" w:w="2800"/>
            <w:shd w:fill="1B2A5E" w:val="clear"/>
            <w:tcMar>
              <w:top w:type="dxa" w:w="100"/>
              <w:left w:type="dxa" w:w="130"/>
              <w:bottom w:type="dxa" w:w="100"/>
              <w:right w:type="dxa" w:w="130"/>
            </w:tcMar>
          </w:tcPr>
          <w:p>
            <w:r>
              <w:rPr>
                <w:b/>
                <w:bCs/>
                <w:color w:val="FFFFFF"/>
                <w:sz w:val="19"/>
                <w:szCs w:val="19"/>
              </w:rPr>
              <w:t xml:space="preserve">Name and title</w:t>
            </w:r>
          </w:p>
        </w:tc>
        <w:tc>
          <w:tcPr>
            <w:tcW w:type="dxa" w:w="2660"/>
            <w:shd w:fill="1B2A5E" w:val="clear"/>
            <w:tcMar>
              <w:top w:type="dxa" w:w="100"/>
              <w:left w:type="dxa" w:w="130"/>
              <w:bottom w:type="dxa" w:w="100"/>
              <w:right w:type="dxa" w:w="130"/>
            </w:tcMar>
          </w:tcPr>
          <w:p>
            <w:r>
              <w:rPr>
                <w:b/>
                <w:bCs/>
                <w:color w:val="FFFFFF"/>
                <w:sz w:val="19"/>
                <w:szCs w:val="19"/>
              </w:rPr>
              <w:t xml:space="preserve">Email</w:t>
            </w:r>
          </w:p>
        </w:tc>
        <w:tc>
          <w:tcPr>
            <w:tcW w:type="dxa" w:w="2000"/>
            <w:shd w:fill="1B2A5E" w:val="clear"/>
            <w:tcMar>
              <w:top w:type="dxa" w:w="100"/>
              <w:left w:type="dxa" w:w="130"/>
              <w:bottom w:type="dxa" w:w="100"/>
              <w:right w:type="dxa" w:w="130"/>
            </w:tcMar>
          </w:tcPr>
          <w:p>
            <w:r>
              <w:rPr>
                <w:b/>
                <w:bCs/>
                <w:color w:val="FFFFFF"/>
                <w:sz w:val="19"/>
                <w:szCs w:val="19"/>
              </w:rPr>
              <w:t xml:space="preserve">Telephone (24h)</w:t>
            </w:r>
          </w:p>
        </w:tc>
      </w:tr>
      <w:tr>
        <w:tc>
          <w:tcPr>
            <w:tcW w:type="dxa" w:w="1900"/>
            <w:tcMar>
              <w:top w:type="dxa" w:w="100"/>
              <w:left w:type="dxa" w:w="130"/>
              <w:bottom w:type="dxa" w:w="100"/>
              <w:right w:type="dxa" w:w="130"/>
            </w:tcMar>
          </w:tcPr>
          <w:p>
            <w:r>
              <w:rPr>
                <w:sz w:val="19"/>
                <w:szCs w:val="19"/>
              </w:rPr>
              <w:t xml:space="preserve">Covered Entity</w:t>
            </w:r>
          </w:p>
        </w:tc>
        <w:tc>
          <w:tcPr>
            <w:tcW w:type="dxa" w:w="2800"/>
            <w:tcMar>
              <w:top w:type="dxa" w:w="100"/>
              <w:left w:type="dxa" w:w="130"/>
              <w:bottom w:type="dxa" w:w="100"/>
              <w:right w:type="dxa" w:w="130"/>
            </w:tcMar>
          </w:tcPr>
          <w:p>
            <w:r>
              <w:rPr>
                <w:sz w:val="19"/>
                <w:szCs w:val="19"/>
              </w:rPr>
              <w:t xml:space="preserve">[NAME, TITLE]</w:t>
            </w:r>
          </w:p>
        </w:tc>
        <w:tc>
          <w:tcPr>
            <w:tcW w:type="dxa" w:w="2660"/>
            <w:tcMar>
              <w:top w:type="dxa" w:w="100"/>
              <w:left w:type="dxa" w:w="130"/>
              <w:bottom w:type="dxa" w:w="100"/>
              <w:right w:type="dxa" w:w="130"/>
            </w:tcMar>
          </w:tcPr>
          <w:p>
            <w:r>
              <w:rPr>
                <w:sz w:val="19"/>
                <w:szCs w:val="19"/>
              </w:rPr>
              <w:t xml:space="preserve">[EMAIL]</w:t>
            </w:r>
          </w:p>
        </w:tc>
        <w:tc>
          <w:tcPr>
            <w:tcW w:type="dxa" w:w="2000"/>
            <w:tcMar>
              <w:top w:type="dxa" w:w="100"/>
              <w:left w:type="dxa" w:w="130"/>
              <w:bottom w:type="dxa" w:w="100"/>
              <w:right w:type="dxa" w:w="130"/>
            </w:tcMar>
          </w:tcPr>
          <w:p>
            <w:r>
              <w:rPr>
                <w:sz w:val="19"/>
                <w:szCs w:val="19"/>
              </w:rPr>
              <w:t xml:space="preserve">[PHONE]</w:t>
            </w:r>
          </w:p>
        </w:tc>
      </w:tr>
      <w:tr>
        <w:tc>
          <w:tcPr>
            <w:tcW w:type="dxa" w:w="1900"/>
            <w:tcMar>
              <w:top w:type="dxa" w:w="100"/>
              <w:left w:type="dxa" w:w="130"/>
              <w:bottom w:type="dxa" w:w="100"/>
              <w:right w:type="dxa" w:w="130"/>
            </w:tcMar>
          </w:tcPr>
          <w:p>
            <w:r>
              <w:rPr>
                <w:sz w:val="19"/>
                <w:szCs w:val="19"/>
              </w:rPr>
              <w:t xml:space="preserve">Business Associate</w:t>
            </w:r>
          </w:p>
        </w:tc>
        <w:tc>
          <w:tcPr>
            <w:tcW w:type="dxa" w:w="2800"/>
            <w:tcMar>
              <w:top w:type="dxa" w:w="100"/>
              <w:left w:type="dxa" w:w="130"/>
              <w:bottom w:type="dxa" w:w="100"/>
              <w:right w:type="dxa" w:w="130"/>
            </w:tcMar>
          </w:tcPr>
          <w:p>
            <w:r>
              <w:rPr>
                <w:sz w:val="19"/>
                <w:szCs w:val="19"/>
              </w:rPr>
              <w:t xml:space="preserve">[NAME, TITLE]</w:t>
            </w:r>
          </w:p>
        </w:tc>
        <w:tc>
          <w:tcPr>
            <w:tcW w:type="dxa" w:w="2660"/>
            <w:tcMar>
              <w:top w:type="dxa" w:w="100"/>
              <w:left w:type="dxa" w:w="130"/>
              <w:bottom w:type="dxa" w:w="100"/>
              <w:right w:type="dxa" w:w="130"/>
            </w:tcMar>
          </w:tcPr>
          <w:p>
            <w:r>
              <w:rPr>
                <w:sz w:val="19"/>
                <w:szCs w:val="19"/>
              </w:rPr>
              <w:t xml:space="preserve">[EMAIL]</w:t>
            </w:r>
          </w:p>
        </w:tc>
        <w:tc>
          <w:tcPr>
            <w:tcW w:type="dxa" w:w="2000"/>
            <w:tcMar>
              <w:top w:type="dxa" w:w="100"/>
              <w:left w:type="dxa" w:w="130"/>
              <w:bottom w:type="dxa" w:w="100"/>
              <w:right w:type="dxa" w:w="130"/>
            </w:tcMar>
          </w:tcPr>
          <w:p>
            <w:r>
              <w:rPr>
                <w:sz w:val="19"/>
                <w:szCs w:val="19"/>
              </w:rPr>
              <w:t xml:space="preserve">[PHONE]</w:t>
            </w:r>
          </w:p>
        </w:tc>
      </w:tr>
    </w:tbl>
    <w:p>
      <w:pPr>
        <w:pStyle w:val="Heading2"/>
        <w:spacing w:after="110" w:before="230"/>
      </w:pPr>
      <w:r>
        <w:rPr>
          <w:b/>
          <w:bCs/>
          <w:color w:val="1B2A5E"/>
          <w:sz w:val="22"/>
          <w:szCs w:val="22"/>
        </w:rPr>
        <w:t xml:space="preserve">B.4  Notice Addresses</w:t>
      </w:r>
    </w:p>
    <w:p>
      <w:pPr>
        <w:spacing w:after="150" w:line="276"/>
      </w:pPr>
      <w:r>
        <w:rPr>
          <w:color w:val="000000"/>
          <w:sz w:val="21"/>
          <w:szCs w:val="21"/>
        </w:rPr>
        <w:t xml:space="preserve">Covered Entity: [NAME, ATTENTION, STREET, CITY, STATE, ZIP]</w:t>
      </w:r>
    </w:p>
    <w:p>
      <w:pPr>
        <w:spacing w:after="150" w:line="276"/>
      </w:pPr>
      <w:r>
        <w:rPr>
          <w:color w:val="000000"/>
          <w:sz w:val="21"/>
          <w:szCs w:val="21"/>
        </w:rPr>
        <w:t xml:space="preserve">Business Associate: Endpoint Shield Solutions, [ATTENTION], [STREET, CITY, STATE, ZIP]</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C" w:sz="4"/>
      </w:pBdr>
      <w:spacing w:after="100"/>
      <w:jc w:val="right"/>
    </w:pPr>
    <w:r>
      <w:rPr>
        <w:color w:val="555555"/>
        <w:sz w:val="16"/>
        <w:szCs w:val="16"/>
      </w:rPr>
      <w:t xml:space="preserve">Business Associate Agreement · Endpoint Shield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Associate Agreement</dc:title>
  <dc:creator>Endpoint Shield Solutions</dc:creator>
  <cp:lastModifiedBy>Un-named</cp:lastModifiedBy>
  <cp:revision>1</cp:revision>
  <dcterms:created xsi:type="dcterms:W3CDTF">2026-09-07T02:49:32.545Z</dcterms:created>
  <dcterms:modified xsi:type="dcterms:W3CDTF">2026-09-07T02:49:32.562Z</dcterms:modified>
</cp:coreProperties>
</file>

<file path=docProps/custom.xml><?xml version="1.0" encoding="utf-8"?>
<Properties xmlns="http://schemas.openxmlformats.org/officeDocument/2006/custom-properties" xmlns:vt="http://schemas.openxmlformats.org/officeDocument/2006/docPropsVTypes"/>
</file>