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Endpoint Shield Solutions</w:t>
      </w:r>
    </w:p>
    <w:p>
      <w:pPr>
        <w:spacing w:after="40"/>
      </w:pPr>
      <w:r>
        <w:rPr>
          <w:color w:val="555555"/>
          <w:sz w:val="26"/>
          <w:szCs w:val="26"/>
        </w:rPr>
        <w:t xml:space="preserve">HIPAA / MSP Readiness Punch List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Prepared for review with healthcare counsel and your insurance broker  ·  8 September 2026</w:t>
      </w:r>
    </w:p>
    <w:p>
      <w:pPr>
        <w:pBdr>
          <w:bottom w:val="single" w:color="D9D9D9" w:sz="6" w:space="1"/>
        </w:pBdr>
        <w:spacing w:after="200"/>
      </w:pPr>
    </w:p>
    <w:p>
      <w:pPr>
        <w:spacing w:after="120"/>
      </w:pPr>
      <w:r>
        <w:t xml:space="preserve">This is a working punch list, not a finished compliance program. It gathers everything drafted, built, or still open across the legal, technical, and business sides of standing up Endpoint Shield Solutions as a HIPAA-adjacent MSP, so it can be worked through with the two people who actually need to sign off: your healthcare attorney (contract language, liability allocation) and your cyber-liability broker (what coverage costs and what it requires). Status reflects what exists right now, not what's promised in any client conversation.</w:t>
      </w:r>
    </w:p>
    <w:p>
      <w:pPr>
        <w:pStyle w:val="Heading1"/>
        <w:spacing w:after="160" w:before="360"/>
      </w:pPr>
      <w:r>
        <w:t xml:space="preserve">1. Contracts</w:t>
      </w:r>
    </w:p>
    <w:p>
      <w:pPr>
        <w:spacing w:after="120"/>
      </w:pPr>
      <w:r>
        <w:t xml:space="preserve">All three documents exist in draft. None should be presented to a client as final until counsel has reviewed indemnification and liability allocation — that language should not come from a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310"/>
        <w:gridCol w:w="1498"/>
        <w:gridCol w:w="3182"/>
      </w:tblGrid>
      <w:tr>
        <w:trPr>
          <w:tblHeader/>
        </w:trPr>
        <w:tc>
          <w:tcPr>
            <w:tcW w:type="dxa" w:w="337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Master Service Agreement (MSA)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DRAFTED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Counsel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Endpoint-Shield-Solutions-MSA-Template.docx. Defines "Service Event," bridges to the BAA (§1.5), sets the on-site dispatch fee + premium hourly rate (§2.3), and the liability handoff for a correctly-reported-but-unactioned incident (§10.2).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 Management Agreement (SMA / SLA)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DRAFTED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Counsel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Endpoint-Shield-Solutions-SMA-Template.docx. Schedule A to the MSA. Response/resolution targets by severity, printer/website exclusions bridged so they don't count against uptime or HIPAA standing, on-site fees mirrored from the MSA.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Business Associate Agreement (BAA)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DRAFTED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Counsel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Endpoint-Shield-Solutions-BAA-v2.docx (business/ folder). Governs ePHI-specific obligations; the Underlying Agreement it refers to is now the MSA above.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Subcontractor BAA — hosting provider (Render or successor)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Render (or wherever you deploy) will sign a BAA on your plan tier, then execute it, before any client BAA is signed. Repeat for any other infrastructure vendor in the data path.</w:t>
            </w:r>
          </w:p>
        </w:tc>
      </w:tr>
    </w:tbl>
    <w:p>
      <w:pPr>
        <w:pStyle w:val="Heading1"/>
        <w:spacing w:after="160" w:before="360"/>
      </w:pPr>
      <w:r>
        <w:t xml:space="preserve">2. Technical safeguards — blocking</w:t>
      </w:r>
    </w:p>
    <w:p>
      <w:pPr>
        <w:spacing w:after="120"/>
      </w:pPr>
      <w:r>
        <w:t xml:space="preserve">From COMPLIANCE-GAPS.md. These represent things the BAA either states outright or implies are true. Nothing in this section should be presented as done in a client conversation until it's actually done in the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310"/>
        <w:gridCol w:w="1498"/>
        <w:gridCol w:w="3182"/>
      </w:tblGrid>
      <w:tr>
        <w:trPr>
          <w:tblHeader/>
        </w:trPr>
        <w:tc>
          <w:tcPr>
            <w:tcW w:type="dxa" w:w="337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logging (45 CFR §164.312(b))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</w:rPr>
              <w:t xml:space="preserve">DONE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—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Implemented — app/audit.py, GET /api/v1/audit-log. Retention is policy, not code: six years per §164.316(b)(2)(i), no purge routine by design.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Silent-endpoint monitoring &amp; alerting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CODE DONE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Implemented and tested — app/monitor.py, app/notify.py. Fires email on silence past 10 min, escalates hourly, resolves on recovery, full audit trail. Set MSP_SMTP_* / MSP_ALERT_EMAIL_TO once Workspace email exists to make it actually send.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Production secrets hard-fail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MSP_JWT_SECRET falls back to a committed default string; MSP_API_KEY and CORS are opt-in. Refuse to start in production if any is missing/default — a stderr warning is not a control.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Encryption at rest (§164.312(a)(2)(iv))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Addressable, not required — but if the BAA asserts it, implement it (hosting-provider disk encryption + documented key management) or strike BAA §4.3 and record the rationale §164.306(d)(3) requires.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Administrative safeguards (§164.308)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 + Counsel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Written risk analysis (reviewed annually), workforce HIPAA training, sanction policy, incident-response/breach-notification runbook (§164.410's clock), contingency/backup plan. Most common OCR finding against small entities is a missing risk analysis.</w:t>
            </w:r>
          </w:p>
        </w:tc>
      </w:tr>
    </w:tbl>
    <w:p>
      <w:pPr>
        <w:pStyle w:val="Heading1"/>
        <w:spacing w:after="160" w:before="360"/>
      </w:pPr>
      <w:r>
        <w:t xml:space="preserve">3. Technical safeguards — important</w:t>
      </w:r>
    </w:p>
    <w:p>
      <w:pPr>
        <w:spacing w:after="120"/>
      </w:pPr>
      <w:r>
        <w:t xml:space="preserve">Should close before taking on a medical client at real scale. Not blocking a first BAA, but each is a real exposure and several are the kind of thing a security questionnaire asks about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310"/>
        <w:gridCol w:w="1498"/>
        <w:gridCol w:w="3182"/>
      </w:tblGrid>
      <w:tr>
        <w:trPr>
          <w:tblHeader/>
        </w:trPr>
        <w:tc>
          <w:tcPr>
            <w:tcW w:type="dxa" w:w="337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Cross-tenant hostname collision / info leak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/devices checks hostname uniqueness across all tenants, not per-tenant — two client practices can't both have a FRONT-DESK-PC, and the 409 leaks that a hostname exists under another tenant.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 /health unauthenticated, cross-tenant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Discloses total fleet size and whether agent auth is on. Split into a bare liveness probe and a separate authenticated endpoint for anything with numbers in it.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Rate limiting on /api/login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Brute force is currently unthrottled. Add attempt limiting + lockout, log attempts to the audit table.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MFA + idle session timeout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 8-hour token on an unattended front-desk PC is a real exposure. MFA isn't strictly required by the Security Rule but underwriters and client security questionnaires ask for it.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server.crt / server.key committed to the repo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Rotate the keys, remove from git history, add to .gitignore — especially before the repo is hosted anywhere remote.</w:t>
            </w:r>
          </w:p>
        </w:tc>
      </w:tr>
    </w:tbl>
    <w:p>
      <w:pPr>
        <w:pStyle w:val="Heading1"/>
        <w:spacing w:after="160" w:before="360"/>
      </w:pPr>
      <w:r>
        <w:t xml:space="preserve">4. Business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310"/>
        <w:gridCol w:w="1498"/>
        <w:gridCol w:w="3182"/>
      </w:tblGrid>
      <w:tr>
        <w:trPr>
          <w:tblHeader/>
        </w:trPr>
        <w:tc>
          <w:tcPr>
            <w:tcW w:type="dxa" w:w="337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Domain — endpointshieldsolutions.com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IN PROGRESS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available, $11.08/yr at Porkbun, in cart. Checkout (account + payment) is yours to complete.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Business email (Google Workspace)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IN PROGRESS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Sign-up started. Once live: point MSP_SMTP_* at it so the monitoring agent (§2) can actually send alerts, and confirm Google will sign a Workspace BAA before any client email touches PHI.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Cyber liability + technology E&amp;O insurance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 + Broker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Bind before the first signed BAA. Underwriters will ask about MFA, backups, and monitoring coverage — items in §2–3 directly affect what you can honestly answer and what you'll pay.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Healthcare counsel engagement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Needed to move §1's three contracts from draft to signable — indemnification and liability allocation shouldn't come from a template.</w:t>
            </w:r>
          </w:p>
        </w:tc>
      </w:tr>
    </w:tbl>
    <w:p>
      <w:pPr>
        <w:pStyle w:val="Heading1"/>
        <w:spacing w:after="160" w:before="360"/>
      </w:pPr>
      <w:r>
        <w:t xml:space="preserve">5. AI agents &amp; vendor data handling</w:t>
      </w:r>
    </w:p>
    <w:p>
      <w:pPr>
        <w:spacing w:after="120"/>
      </w:pPr>
      <w:r>
        <w:t xml:space="preserve">Applies the moment any AI tool — a monitoring/escalation agent, a ticket-triage assistant, anything drafting from real device or incident data — touches information that could be or become ePHI.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310"/>
        <w:gridCol w:w="1498"/>
        <w:gridCol w:w="3182"/>
      </w:tblGrid>
      <w:tr>
        <w:trPr>
          <w:tblHeader/>
        </w:trPr>
        <w:tc>
          <w:tcPr>
            <w:tcW w:type="dxa" w:w="337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31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82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vendor BAA coverage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91C1C"/>
              </w:rPr>
              <w:t xml:space="preserve">NOT STARTED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 a signed BAA and disabled data retention/training with whichever AI vendor's agents touch client data. Consumer-tier ChatGPT or a plain Claude.ai account do not qualify — an enterprise or API-tier agreement that explicitly offers a BAA does.</w:t>
            </w:r>
          </w:p>
        </w:tc>
      </w:tr>
      <w:tr>
        <w:tc>
          <w:tcPr>
            <w:tcW w:type="dxa" w:w="337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Scope of first agent to build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IN PROGRESS</w:t>
            </w:r>
          </w:p>
        </w:tc>
        <w:tc>
          <w:tcPr>
            <w:tcW w:type="dxa" w:w="14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555555"/>
              </w:rPr>
              <w:t xml:space="preserve">Tony</w:t>
            </w:r>
          </w:p>
        </w:tc>
        <w:tc>
          <w:tcPr>
            <w:tcW w:type="dxa" w:w="31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Silent-endpoint monitoring (§2) is built and is internal-only — it emails your own inbox, not a client, so it doesn't yet trigger the AI-vendor-BAA question above. A client-facing or ticket-triage agent would.</w:t>
            </w:r>
          </w:p>
        </w:tc>
      </w:tr>
    </w:tbl>
    <w:p>
      <w:pPr>
        <w:pStyle w:val="Heading1"/>
        <w:spacing w:after="160" w:before="360"/>
      </w:pPr>
      <w:r>
        <w:t xml:space="preserve">6. Suggested order</w:t>
      </w:r>
    </w:p>
    <w:p>
      <w:pPr>
        <w:spacing w:after="120"/>
      </w:pPr>
      <w:r>
        <w:t xml:space="preserve">Mirrors COMPLIANCE-GAPS.md's own ordering, folded in with the business-side items above: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 Audit logging — </w:t>
      </w:r>
      <w:r>
        <w:rPr>
          <w:b/>
          <w:bCs/>
          <w:color w:val="2E7D32"/>
        </w:rPr>
        <w:t xml:space="preserve">DONE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 Alerting &amp; escalation — </w:t>
      </w:r>
      <w:r>
        <w:rPr>
          <w:b/>
          <w:bCs/>
          <w:color w:val="B45309"/>
        </w:rPr>
        <w:t xml:space="preserve">CODE DONE</w:t>
      </w:r>
      <w:r>
        <w:t xml:space="preserve">, live once Workspace SMTP is configured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 Production secrets hard-fail — cheapest, highest severity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 Rate limiting + idle timeout — small, visible on security questionnaires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 Risk analysis and the written policy set — slow, start early, non-technical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 Encryption-at-rest decision, documented either way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 Per-tenant hostname uniqueness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 Bind cyber liability + tech E&amp;O coverage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 Engage healthcare counsel to finalize MSA / SMA / BAA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 Execute the Render (or hosting provider) subcontractor BAA</w:t>
      </w:r>
    </w:p>
    <w:p>
      <w:pPr>
        <w:pBdr>
          <w:bottom w:val="single" w:color="D9D9D9" w:sz="6" w:space="1"/>
        </w:pBdr>
        <w:spacing w:after="200"/>
      </w:pPr>
    </w:p>
    <w:p>
      <w:pPr>
        <w:spacing w:after="120"/>
      </w:pPr>
      <w:r>
        <w:t xml:space="preserve">Full technical detail behind §2–3 lives in </w:t>
      </w:r>
      <w:r>
        <w:rPr>
          <w:i/>
          <w:iCs/>
        </w:rPr>
        <w:t xml:space="preserve">COMPLIANCE-GAPS.md</w:t>
      </w:r>
      <w:r>
        <w:t xml:space="preserve"> in the antivirus-orchestrator repo — this document summarizes it alongside the business and legal items for a single conversation with counsel and your broker.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</w:pPr>
    <w:rPr>
      <w:rFonts w:ascii="Calibri" w:cs="Calibri" w:eastAsia="Calibri" w:hAnsi="Calibri"/>
      <w:b/>
      <w:bCs/>
      <w:color w:val="1F3A5F"/>
      <w:sz w:val="27"/>
      <w:szCs w:val="27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2026-09-08T19:49:30.424Z</dcterms:created>
  <dcterms:modified xsi:type="dcterms:W3CDTF">2026-09-08T19:49:30.434Z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