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ENDPOINT SHIELD SOLUTIONS</w:t>
      </w:r>
    </w:p>
    <w:p>
      <w:pPr>
        <w:spacing w:after="120"/>
        <w:jc w:val="center"/>
      </w:pPr>
      <w:r>
        <w:t xml:space="preserve">Endpoint Security &amp; Compliance Monitoring</w:t>
      </w:r>
    </w:p>
    <w:p>
      <w:pPr>
        <w:spacing w:after="200"/>
        <w:jc w:val="center"/>
      </w:pPr>
      <w:r>
        <w:rPr>
          <w:b/>
          <w:bCs/>
          <w:sz w:val="22"/>
          <w:szCs w:val="22"/>
        </w:rPr>
        <w:t xml:space="preserve">MASTER SERVICE AGREEMENT</w:t>
      </w:r>
    </w:p>
    <w:p>
      <w:pPr>
        <w:spacing w:after="120"/>
        <w:jc w:val="center"/>
      </w:pPr>
      <w:r>
        <w:t xml:space="preserve">(The “Underlying Agreement” referenced in the Business Associate Agreement between the Parties)</w:t>
      </w:r>
    </w:p>
    <w:p>
      <w:pPr>
        <w:pBdr>
          <w:bottom w:val="single" w:color="999999" w:sz="6"/>
        </w:pBdr>
        <w:spacing w:after="200"/>
      </w:pPr>
      <w:r>
        <w:t xml:space="preserve"/>
      </w:r>
    </w:p>
    <w:p>
      <w:pPr>
        <w:spacing w:after="140"/>
      </w:pPr>
      <w:r>
        <w:t xml:space="preserve">This Master Service Agreement (this “Agreement” or “MSA”) is made and entered into as of ____________________ (the “Effective Date”) by and between:</w:t>
      </w:r>
    </w:p>
    <w:p>
      <w:pPr>
        <w:spacing w:after="140"/>
      </w:pPr>
      <w:r>
        <w:t xml:space="preserve">[CLIENT LEGAL NAME], a [STATE] [ENTITY TYPE] with its principal place of business at [CLIENT ADDRESS] (“Client”); and</w:t>
      </w:r>
    </w:p>
    <w:p>
      <w:pPr>
        <w:spacing w:after="140"/>
      </w:pPr>
      <w:r>
        <w:t xml:space="preserve">Endpoint Shield Solutions, a [STATE] [ENTITY TYPE] with its principal place of business at [YOUR ADDRESS] (“Provider”).</w:t>
      </w:r>
    </w:p>
    <w:p>
      <w:pPr>
        <w:spacing w:after="140"/>
      </w:pPr>
      <w:r>
        <w:t xml:space="preserve">Client and Provider are referred to individually as a “Party” and collectively as the “Parties.”</w:t>
      </w:r>
    </w:p>
    <w:p>
      <w:pPr>
        <w:spacing w:after="120" w:before="240"/>
      </w:pPr>
      <w:r>
        <w:rPr>
          <w:b/>
          <w:bCs/>
          <w:sz w:val="24"/>
          <w:szCs w:val="24"/>
        </w:rPr>
        <w:t xml:space="preserve">RECITALS</w:t>
      </w:r>
    </w:p>
    <w:p>
      <w:pPr>
        <w:spacing w:after="140"/>
      </w:pPr>
      <w:r>
        <w:t xml:space="preserve">WHEREAS, Client wishes to engage Provider to provide endpoint monitoring, antivirus orchestration, device inventory, and related managed information technology services, and Provider wishes to provide such services, on the terms set forth in this Agreement and in the Service Management Agreement attached as Schedule A (the “SMA”);</w:t>
      </w:r>
    </w:p>
    <w:p>
      <w:pPr>
        <w:spacing w:after="140"/>
      </w:pPr>
      <w:r>
        <w:t xml:space="preserve">WHEREAS, in the course of providing the Services, Provider may create, receive, maintain, or transmit Protected Health Information on behalf of Client, and the Parties have executed, concurrently with or in connection with this Agreement, a Business Associate Agreement (the “BAA”) governing that activity;</w:t>
      </w:r>
    </w:p>
    <w:p>
      <w:pPr>
        <w:spacing w:after="140"/>
      </w:pPr>
      <w:r>
        <w:t xml:space="preserve">WHEREAS, this Agreement is the “Underlying Agreement” referred to in the BAA;</w:t>
      </w:r>
    </w:p>
    <w:p>
      <w:pPr>
        <w:spacing w:after="140"/>
      </w:pPr>
      <w:r>
        <w:t xml:space="preserve">NOW, THEREFORE, in consideration of the mutual covenants set forth herein, the Parties agree as follows:</w:t>
      </w:r>
    </w:p>
    <w:p>
      <w:pPr>
        <w:spacing w:after="120" w:before="240"/>
      </w:pPr>
      <w:r>
        <w:rPr>
          <w:b/>
          <w:bCs/>
          <w:sz w:val="24"/>
          <w:szCs w:val="24"/>
        </w:rPr>
        <w:t xml:space="preserve">1.  Definitions</w:t>
      </w:r>
    </w:p>
    <w:p>
      <w:pPr>
        <w:spacing w:after="140"/>
      </w:pPr>
      <w:r>
        <w:t xml:space="preserve">Capitalized terms used but not defined in this Agreement have the meanings given in the SMA or, failing that, the BAA. The following terms have the meanings set forth below.</w:t>
      </w:r>
    </w:p>
    <w:p>
      <w:pPr>
        <w:spacing w:after="140"/>
      </w:pPr>
      <w:r>
        <w:rPr>
          <w:b/>
          <w:bCs/>
        </w:rPr>
        <w:t xml:space="preserve">1.1  “Services”</w:t>
      </w:r>
      <w:r>
        <w:t xml:space="preserve"> means the managed information technology, endpoint monitoring, antivirus orchestration, and device inventory services described in the SMA, as the SMA may be updated from time to time by written agreement of the Parties.</w:t>
      </w:r>
    </w:p>
    <w:p>
      <w:pPr>
        <w:spacing w:after="140"/>
      </w:pPr>
      <w:r>
        <w:rPr>
          <w:b/>
          <w:bCs/>
        </w:rPr>
        <w:t xml:space="preserve">1.2  “Endpoint”</w:t>
      </w:r>
      <w:r>
        <w:t xml:space="preserve"> means a desktop, laptop, server, mobile device, or other computing device enrolled by Client for monitoring under the Services, as listed in the SMA. This is the sole and exclusive definition of “Endpoint” for purposes of this Agreement, the SMA, and the BAA.</w:t>
      </w:r>
    </w:p>
    <w:p>
      <w:pPr>
        <w:spacing w:after="140"/>
      </w:pPr>
      <w:r>
        <w:rPr>
          <w:b/>
          <w:bCs/>
        </w:rPr>
        <w:t xml:space="preserve">1.3  “Business Hours”</w:t>
      </w:r>
      <w:r>
        <w:t xml:space="preserve"> has the meaning given in the SMA.</w:t>
      </w:r>
    </w:p>
    <w:p>
      <w:pPr>
        <w:spacing w:after="140"/>
      </w:pPr>
      <w:r>
        <w:rPr>
          <w:b/>
          <w:bCs/>
        </w:rPr>
        <w:t xml:space="preserve">1.4  “Service Event”</w:t>
      </w:r>
      <w:r>
        <w:t xml:space="preserve"> means any interruption, degradation, missed check-in, or anomaly in the performance, availability, or reporting status of an Endpoint or the Services that does not itself involve the unauthorized acquisition, access, use, or disclosure of Protected Health Information. A Service Event is evaluated, prioritized, and addressed solely under the response and resolution targets set forth in the SMA.</w:t>
      </w:r>
    </w:p>
    <w:p>
      <w:pPr>
        <w:shd w:fill="F2F2F2" w:color="auto" w:val="clear"/>
        <w:spacing w:after="160" w:before="100"/>
      </w:pPr>
      <w:r>
        <w:rPr>
          <w:b/>
          <w:bCs/>
          <w:i/>
          <w:iCs/>
        </w:rPr>
        <w:t xml:space="preserve">DRAFTING NOTE — </w:t>
      </w:r>
      <w:r>
        <w:rPr>
          <w:i/>
          <w:iCs/>
        </w:rPr>
        <w:t xml:space="preserve">This is the single most important definition in this Agreement. It exists to keep an ordinary monitoring alert — an Endpoint that missed a heartbeat — from ever being read as a “Security Incident” or “Breach” under the BAA merely because it is inconvenient or ambiguous. A Service Event and a Security Incident are different questions asked of different systems; Section 1.5 makes the relationship between the two explicit rather than leaving it to inference.</w:t>
      </w:r>
    </w:p>
    <w:p>
      <w:pPr>
        <w:spacing w:after="140"/>
      </w:pPr>
      <w:r>
        <w:rPr>
          <w:b/>
          <w:bCs/>
        </w:rPr>
        <w:t xml:space="preserve">1.5  Relationship to the BAA.</w:t>
      </w:r>
      <w:r>
        <w:t xml:space="preserve"> A Service Event that also constitutes, or that Provider reasonably believes may constitute, a “Security Incident” or “Breach” as those terms are defined in the BAA is, in addition to and independently of its treatment as a Service Event, subject to the notification obligations of BAA Section 3. The response and resolution targets in the SMA do not extend, shorten, or otherwise modify the notification timelines in BAA Section 3, and BAA Section 3 controls over any conflicting timeline, severity classification, or target in the SMA or this Agreement.</w:t>
      </w:r>
    </w:p>
    <w:p>
      <w:pPr>
        <w:spacing w:after="140"/>
      </w:pPr>
      <w:r>
        <w:rPr>
          <w:b/>
          <w:bCs/>
        </w:rPr>
        <w:t xml:space="preserve">1.6  “On-Site Visit”</w:t>
      </w:r>
      <w:r>
        <w:t xml:space="preserve"> has the meaning given in Section 2.3.</w:t>
      </w:r>
    </w:p>
    <w:p>
      <w:pPr>
        <w:spacing w:after="140"/>
      </w:pPr>
      <w:r>
        <w:rPr>
          <w:b/>
          <w:bCs/>
        </w:rPr>
        <w:t xml:space="preserve">1.7  “BAA”</w:t>
      </w:r>
      <w:r>
        <w:t xml:space="preserve"> means the Business Associate Agreement between the Parties referenced in the Recitals, as it may be amended.</w:t>
      </w:r>
    </w:p>
    <w:p>
      <w:pPr>
        <w:spacing w:after="140"/>
      </w:pPr>
      <w:r>
        <w:rPr>
          <w:b/>
          <w:bCs/>
        </w:rPr>
        <w:t xml:space="preserve">1.8  “SMA”</w:t>
      </w:r>
      <w:r>
        <w:t xml:space="preserve"> means Schedule A to this Agreement (the Service Management Agreement), as it may be updated from time to time by written agreement of the Parties.</w:t>
      </w:r>
    </w:p>
    <w:p>
      <w:pPr>
        <w:spacing w:after="120" w:before="240"/>
      </w:pPr>
      <w:r>
        <w:rPr>
          <w:b/>
          <w:bCs/>
          <w:sz w:val="24"/>
          <w:szCs w:val="24"/>
        </w:rPr>
        <w:t xml:space="preserve">2.  Scope of Work</w:t>
      </w:r>
    </w:p>
    <w:p>
      <w:pPr>
        <w:spacing w:after="140"/>
      </w:pPr>
      <w:r>
        <w:rPr>
          <w:b/>
          <w:bCs/>
        </w:rPr>
        <w:t xml:space="preserve">2.1  Services. </w:t>
      </w:r>
      <w:r>
        <w:t xml:space="preserve">Provider shall perform the Services described in the SMA, which is incorporated into and made a part of this Agreement by reference.</w:t>
      </w:r>
    </w:p>
    <w:p>
      <w:pPr>
        <w:spacing w:after="140"/>
      </w:pPr>
      <w:r>
        <w:rPr>
          <w:b/>
          <w:bCs/>
        </w:rPr>
        <w:t xml:space="preserve">2.2  Remote-First Delivery. </w:t>
      </w:r>
      <w:r>
        <w:t xml:space="preserve">Except as provided in Section 2.3, the Services are delivered remotely by means of Provider's monitoring platform, remote administration tools, and remote technical support during the coverage hours stated in the SMA. Provider is under no obligation to perform Services on-site at any Client location.</w:t>
      </w:r>
    </w:p>
    <w:p>
      <w:pPr>
        <w:spacing w:after="100" w:before="180"/>
      </w:pPr>
      <w:r>
        <w:rPr>
          <w:b/>
          <w:bCs/>
        </w:rPr>
        <w:t xml:space="preserve">2.3  On-Site Visits; Premium Fee</w:t>
      </w:r>
    </w:p>
    <w:p>
      <w:pPr>
        <w:spacing w:after="140"/>
      </w:pPr>
      <w:r>
        <w:t xml:space="preserve">Where remote resolution of a Service Event or support request is not reasonably possible, or where Client requests that Provider's personnel physically attend a Client location for any reason, such attendance is an “On-Site Visit” and is billed in addition to the fees set forth in Section 3, as follows:</w:t>
      </w:r>
    </w:p>
    <w:p>
      <w:pPr>
        <w:spacing w:after="140"/>
      </w:pPr>
      <w:r>
        <w:rPr>
          <w:b/>
          <w:bCs/>
        </w:rPr>
        <w:t xml:space="preserve">(a)  Dispatch Fee. </w:t>
      </w:r>
      <w:r>
        <w:t xml:space="preserve">A dispatch fee of $[ON-SITE DISPATCH FEE] per On-Site Visit, payable regardless of the duration of the visit or the outcome of the work performed.</w:t>
      </w:r>
    </w:p>
    <w:p>
      <w:pPr>
        <w:spacing w:after="140"/>
      </w:pPr>
      <w:r>
        <w:rPr>
          <w:b/>
          <w:bCs/>
        </w:rPr>
        <w:t xml:space="preserve">(b)  Premium Hourly Rate. </w:t>
      </w:r>
      <w:r>
        <w:t xml:space="preserve">A premium on-site hourly rate of $[ON-SITE HOURLY RATE] per hour during Business Hours, billed in [FIFTEEN (15)]-minute increments with a minimum charge of [ONE (1)] hour per visit, for all time from Provider personnel's departure from Provider's place of business until their return, including travel time.</w:t>
      </w:r>
    </w:p>
    <w:p>
      <w:pPr>
        <w:spacing w:after="140"/>
      </w:pPr>
      <w:r>
        <w:rPr>
          <w:b/>
          <w:bCs/>
        </w:rPr>
        <w:t xml:space="preserve">(c)  After-Hours Premium. </w:t>
      </w:r>
      <w:r>
        <w:t xml:space="preserve">An On-Site Visit performed outside Business Hours, or on a weekend or holiday recognized in the SMA, is billed at $[AFTER-HOURS ON-SITE HOURLY RATE] per hour in place of the rate in Section 2.3(b), in addition to the dispatch fee in Section 2.3(a).</w:t>
      </w:r>
    </w:p>
    <w:p>
      <w:pPr>
        <w:spacing w:after="140"/>
      </w:pPr>
      <w:r>
        <w:rPr>
          <w:b/>
          <w:bCs/>
        </w:rPr>
        <w:t xml:space="preserve">(d)  Authorization. </w:t>
      </w:r>
      <w:r>
        <w:t xml:space="preserve">Provider shall provide Client a good-faith estimate before dispatching personnel where practicable. Provider shall obtain Client's written or email authorization before any On-Site Visit reasonably expected to exceed $[AUTHORIZATION THRESHOLD] in combined fees under this Section 2.3, except where the On-Site Visit is undertaken on an emergency basis at Client's own request.</w:t>
      </w:r>
    </w:p>
    <w:p>
      <w:pPr>
        <w:spacing w:after="140"/>
      </w:pPr>
      <w:r>
        <w:rPr>
          <w:b/>
          <w:bCs/>
        </w:rPr>
        <w:t xml:space="preserve">(e)  Annual Adjustment. </w:t>
      </w:r>
      <w:r>
        <w:t xml:space="preserve">The fees in this Section 2.3 may be adjusted by Provider not more than once per [TWELVE (12)]-month period upon [THIRTY (30)] days' written notice to Client.</w:t>
      </w:r>
    </w:p>
    <w:p>
      <w:pPr>
        <w:shd w:fill="F2F2F2" w:color="auto" w:val="clear"/>
        <w:spacing w:after="160" w:before="100"/>
      </w:pPr>
      <w:r>
        <w:rPr>
          <w:b/>
          <w:bCs/>
          <w:i/>
          <w:iCs/>
        </w:rPr>
        <w:t xml:space="preserve">DRAFTING NOTE — </w:t>
      </w:r>
      <w:r>
        <w:rPr>
          <w:i/>
          <w:iCs/>
        </w:rPr>
        <w:t xml:space="preserve">Fill in every bracketed dollar figure before this Agreement is signed. A dispatch fee in the neighborhood of $[75–150] and a premium hourly rate roughly 1.5–2x your standard remote rate is typical in the MSP market; set the after-hours rate high enough that it is never cheaper for a client to ask for an emergency evening visit than to wait for the next business day, unless that is genuinely what they need.</w:t>
      </w:r>
    </w:p>
    <w:p>
      <w:pPr>
        <w:spacing w:after="100" w:before="180"/>
      </w:pPr>
      <w:r>
        <w:rPr>
          <w:b/>
          <w:bCs/>
        </w:rPr>
        <w:t xml:space="preserve">2.4  Exclusions</w:t>
      </w:r>
    </w:p>
    <w:p>
      <w:pPr>
        <w:spacing w:after="140"/>
      </w:pPr>
      <w:r>
        <w:t xml:space="preserve">The Services expressly exclude printer hardware repair and maintenance, and website hosting, development, or repair, in each case as further described in the SMA. Provider may, at its discretion and at Client's written request, perform excluded work on a time-and-materials basis at the rates set forth in Section 2.3 (if on-site) or the SMA (if remote), and such excluded work is not subject to the response times, resolution times, coverage-hour commitments, or service credits set forth in the SMA.</w:t>
      </w:r>
    </w:p>
    <w:p>
      <w:pPr>
        <w:spacing w:after="140"/>
      </w:pPr>
      <w:r>
        <w:rPr>
          <w:b/>
          <w:bCs/>
        </w:rPr>
        <w:t xml:space="preserve">DRAFTING NOTE (bridge to the BAA and SMA) — </w:t>
      </w:r>
      <w:r>
        <w:t xml:space="preserve">This Section 2.4 governs only whether excluded work counts toward Provider's service-level and uptime commitments. It has no bearing on, and does not narrow, Provider's obligations under the BAA with respect to any Protected Health Information Provider encounters while performing excluded work; the BAA applies in full regardless of whether the underlying work is in or out of scope under this Agreement or the SMA. See SMA Section 3 for the corresponding provision.</w:t>
      </w:r>
    </w:p>
    <w:p>
      <w:pPr>
        <w:spacing w:after="140"/>
      </w:pPr>
      <w:r>
        <w:rPr>
          <w:b/>
          <w:bCs/>
        </w:rPr>
        <w:t xml:space="preserve">2.5  Adding or Removing Endpoints. </w:t>
      </w:r>
      <w:r>
        <w:t xml:space="preserve">Client may add or remove Endpoints from the Services by written request. Provider shall update the SMA to reflect the current enrolled Endpoints and shall adjust the fees under Section 3 accordingly effective the first billing cycle following the change.</w:t>
      </w:r>
    </w:p>
    <w:p>
      <w:pPr>
        <w:spacing w:after="120" w:before="240"/>
      </w:pPr>
      <w:r>
        <w:rPr>
          <w:b/>
          <w:bCs/>
          <w:sz w:val="24"/>
          <w:szCs w:val="24"/>
        </w:rPr>
        <w:t xml:space="preserve">3.  Fees; Invoicing; Payment Terms</w:t>
      </w:r>
    </w:p>
    <w:p>
      <w:pPr>
        <w:spacing w:after="140"/>
      </w:pPr>
      <w:r>
        <w:rPr>
          <w:b/>
          <w:bCs/>
        </w:rPr>
        <w:t xml:space="preserve">3.1  Service Fee. </w:t>
      </w:r>
      <w:r>
        <w:t xml:space="preserve">Client shall pay Provider a monthly service fee of $[AMOUNT] per enrolled Endpoint (or $[FLAT AMOUNT] per month, as applicable), billed monthly in advance.</w:t>
      </w:r>
    </w:p>
    <w:p>
      <w:pPr>
        <w:spacing w:after="140"/>
      </w:pPr>
      <w:r>
        <w:rPr>
          <w:b/>
          <w:bCs/>
        </w:rPr>
        <w:t xml:space="preserve">3.2  On-Site and Excluded-Work Fees. </w:t>
      </w:r>
      <w:r>
        <w:t xml:space="preserve">Fees under Sections 2.3 and 2.4 are billed monthly in arrears based on time and materials actually incurred during the preceding month, together with an itemized description of the work performed.</w:t>
      </w:r>
    </w:p>
    <w:p>
      <w:pPr>
        <w:spacing w:after="140"/>
      </w:pPr>
      <w:r>
        <w:rPr>
          <w:b/>
          <w:bCs/>
        </w:rPr>
        <w:t xml:space="preserve">3.3  Invoicing and Late Payment. </w:t>
      </w:r>
      <w:r>
        <w:t xml:space="preserve">Invoices are due within [FIFTEEN (15)] days of the invoice date. Amounts not paid when due accrue interest at the rate of [ONE AND ONE-HALF PERCENT (1.5%)] per month or the highest rate permitted by applicable law, whichever is lower.</w:t>
      </w:r>
    </w:p>
    <w:p>
      <w:pPr>
        <w:spacing w:after="140"/>
      </w:pPr>
      <w:r>
        <w:rPr>
          <w:b/>
          <w:bCs/>
        </w:rPr>
        <w:t xml:space="preserve">3.4  Suspension for Non-Payment. </w:t>
      </w:r>
      <w:r>
        <w:t xml:space="preserve">If any invoice remains unpaid more than [THIRTY (30)] days after its due date, Provider may, upon [FIVE (5)] days' written notice, suspend the Services, other than the notification obligations under BAA Section 3, until payment is received in full.</w:t>
      </w:r>
    </w:p>
    <w:p>
      <w:pPr>
        <w:spacing w:after="140"/>
      </w:pPr>
      <w:r>
        <w:rPr>
          <w:b/>
          <w:bCs/>
        </w:rPr>
        <w:t xml:space="preserve">3.5  Taxes. </w:t>
      </w:r>
      <w:r>
        <w:t xml:space="preserve">Fees are exclusive of applicable sales, use, and similar taxes, which are Client's responsibility.</w:t>
      </w:r>
    </w:p>
    <w:p>
      <w:pPr>
        <w:spacing w:after="120" w:before="240"/>
      </w:pPr>
      <w:r>
        <w:rPr>
          <w:b/>
          <w:bCs/>
          <w:sz w:val="24"/>
          <w:szCs w:val="24"/>
        </w:rPr>
        <w:t xml:space="preserve">4.  Term and Termination</w:t>
      </w:r>
    </w:p>
    <w:p>
      <w:pPr>
        <w:spacing w:after="140"/>
      </w:pPr>
      <w:r>
        <w:rPr>
          <w:b/>
          <w:bCs/>
        </w:rPr>
        <w:t xml:space="preserve">4.1  Term. </w:t>
      </w:r>
      <w:r>
        <w:t xml:space="preserve">This Agreement commences on the Effective Date and continues for an initial term of [ONE (1) YEAR], automatically renewing thereafter for successive [ONE (1) YEAR] terms unless either Party gives written notice of non-renewal at least [THIRTY (30)] days before the end of the then-current term.</w:t>
      </w:r>
    </w:p>
    <w:p>
      <w:pPr>
        <w:spacing w:after="140"/>
      </w:pPr>
      <w:r>
        <w:rPr>
          <w:b/>
          <w:bCs/>
        </w:rPr>
        <w:t xml:space="preserve">4.2  Termination for Convenience. </w:t>
      </w:r>
      <w:r>
        <w:t xml:space="preserve">Either Party may terminate this Agreement for convenience upon [THIRTY (30)] days' written notice to the other Party.</w:t>
      </w:r>
    </w:p>
    <w:p>
      <w:pPr>
        <w:spacing w:after="140"/>
      </w:pPr>
      <w:r>
        <w:rPr>
          <w:b/>
          <w:bCs/>
        </w:rPr>
        <w:t xml:space="preserve">4.3  Termination for Cause. </w:t>
      </w:r>
      <w:r>
        <w:t xml:space="preserve">Either Party may terminate this Agreement upon written notice if the other Party materially breaches this Agreement and fails to cure the breach within [THIRTY (30)] days of receiving written notice describing the breach, or immediately upon written notice if the breach is not reasonably capable of cure.</w:t>
      </w:r>
    </w:p>
    <w:p>
      <w:pPr>
        <w:spacing w:after="140"/>
      </w:pPr>
      <w:r>
        <w:rPr>
          <w:b/>
          <w:bCs/>
        </w:rPr>
        <w:t xml:space="preserve">4.4  Effect on the BAA. </w:t>
      </w:r>
      <w:r>
        <w:t xml:space="preserve">Termination or expiration of this Agreement for any reason is a termination of the “Underlying Agreement” for purposes of BAA Section 6.1, and triggers Provider's obligations regarding return or destruction of Protected Health Information under BAA Section 6.3.</w:t>
      </w:r>
    </w:p>
    <w:p>
      <w:pPr>
        <w:spacing w:after="140"/>
      </w:pPr>
      <w:r>
        <w:rPr>
          <w:b/>
          <w:bCs/>
        </w:rPr>
        <w:t xml:space="preserve">4.5  Transition Assistance. </w:t>
      </w:r>
      <w:r>
        <w:t xml:space="preserve">For [THIRTY (30)] days following termination, Provider shall provide reasonable transition assistance to Client at Provider's then-current rates, consistent with BAA Section 6.5.</w:t>
      </w:r>
    </w:p>
    <w:p>
      <w:pPr>
        <w:spacing w:after="120" w:before="240"/>
      </w:pPr>
      <w:r>
        <w:rPr>
          <w:b/>
          <w:bCs/>
          <w:sz w:val="24"/>
          <w:szCs w:val="24"/>
        </w:rPr>
        <w:t xml:space="preserve">5.  Independent Contractor Status</w:t>
      </w:r>
    </w:p>
    <w:p>
      <w:pPr>
        <w:spacing w:after="140"/>
      </w:pPr>
      <w:r>
        <w:t xml:space="preserve">Provider is an independent contractor and not an employee, partner, or joint venturer of Client. Nothing in this Agreement creates an employment, agency, or partnership relationship between the Parties. Each Party is solely responsible for its own workforce, including their compensation, benefits, and taxes.</w:t>
      </w:r>
    </w:p>
    <w:p>
      <w:pPr>
        <w:spacing w:after="120" w:before="240"/>
      </w:pPr>
      <w:r>
        <w:rPr>
          <w:b/>
          <w:bCs/>
          <w:sz w:val="24"/>
          <w:szCs w:val="24"/>
        </w:rPr>
        <w:t xml:space="preserve">6.  Confidentiality</w:t>
      </w:r>
    </w:p>
    <w:p>
      <w:pPr>
        <w:spacing w:after="140"/>
      </w:pPr>
      <w:r>
        <w:t xml:space="preserve">Each Party shall protect the other Party's non-public business, technical, and financial information (“Confidential Information”) with the same degree of care it uses to protect its own confidential information of similar nature, and not less than reasonable care, and shall not disclose Confidential Information to any third party except as necessary to perform this Agreement or as required by law.</w:t>
      </w:r>
    </w:p>
    <w:p>
      <w:pPr>
        <w:spacing w:after="140"/>
      </w:pPr>
      <w:r>
        <w:rPr>
          <w:b/>
          <w:bCs/>
        </w:rPr>
        <w:t xml:space="preserve">DRAFTING NOTE (bridge to the BAA) — </w:t>
      </w:r>
      <w:r>
        <w:t xml:space="preserve">This Section 6 governs general business Confidential Information. It does not limit, and is superseded by, Provider's obligations with respect to Protected Health Information under the BAA, which control with respect to PHI regardless of any conflicting term in this Section.</w:t>
      </w:r>
    </w:p>
    <w:p>
      <w:pPr>
        <w:spacing w:after="120" w:before="240"/>
      </w:pPr>
      <w:r>
        <w:rPr>
          <w:b/>
          <w:bCs/>
          <w:sz w:val="24"/>
          <w:szCs w:val="24"/>
        </w:rPr>
        <w:t xml:space="preserve">7.  Intellectual Property</w:t>
      </w:r>
    </w:p>
    <w:p>
      <w:pPr>
        <w:spacing w:after="140"/>
      </w:pPr>
      <w:r>
        <w:t xml:space="preserve">Provider retains all right, title, and interest in and to its monitoring platform, agent software, scripts, methodologies, and other tools used to provide the Services, including any improvements developed during the term of this Agreement. Client retains all right, title, and interest in its own data, including any Protected Health Information, subject to the BAA.</w:t>
      </w:r>
    </w:p>
    <w:p>
      <w:pPr>
        <w:spacing w:after="120" w:before="240"/>
      </w:pPr>
      <w:r>
        <w:rPr>
          <w:b/>
          <w:bCs/>
          <w:sz w:val="24"/>
          <w:szCs w:val="24"/>
        </w:rPr>
        <w:t xml:space="preserve">8.  Non-Solicitation</w:t>
      </w:r>
    </w:p>
    <w:p>
      <w:pPr>
        <w:spacing w:after="140"/>
      </w:pPr>
      <w:r>
        <w:t xml:space="preserve">During the term of this Agreement and for [TWELVE (12)] months thereafter, Client shall not directly solicit for hire any employee or contractor of Provider who was involved in providing the Services, without Provider's prior written consent.</w:t>
      </w:r>
    </w:p>
    <w:p>
      <w:pPr>
        <w:spacing w:after="120" w:before="240"/>
      </w:pPr>
      <w:r>
        <w:rPr>
          <w:b/>
          <w:bCs/>
          <w:sz w:val="24"/>
          <w:szCs w:val="24"/>
        </w:rPr>
        <w:t xml:space="preserve">9.  Insurance</w:t>
      </w:r>
    </w:p>
    <w:p>
      <w:pPr>
        <w:spacing w:after="140"/>
      </w:pPr>
      <w:r>
        <w:t xml:space="preserve">Provider shall maintain the cyber liability and technology errors &amp; omissions insurance described in BAA Section 7.5 for the term of this Agreement and thereafter as specified there. This Section 9 does not create insurance obligations independent of, or in addition to, BAA Section 7.5.</w:t>
      </w:r>
    </w:p>
    <w:p>
      <w:pPr>
        <w:spacing w:after="120" w:before="240"/>
      </w:pPr>
      <w:r>
        <w:rPr>
          <w:b/>
          <w:bCs/>
          <w:sz w:val="24"/>
          <w:szCs w:val="24"/>
        </w:rPr>
        <w:t xml:space="preserve">10.  Limitation of Liability</w:t>
      </w:r>
    </w:p>
    <w:p>
      <w:pPr>
        <w:spacing w:after="140"/>
      </w:pPr>
      <w:r>
        <w:rPr>
          <w:b/>
          <w:bCs/>
        </w:rPr>
        <w:t xml:space="preserve">10.1  General Cap. </w:t>
      </w:r>
      <w:r>
        <w:t xml:space="preserve">Except with respect to matters governed by BAA Section 7 (which exclusively governs liability, indemnification, and limitation of liability for claims arising out of or relating to Protected Health Information, HIPAA, or the BAA), the aggregate liability of either Party arising out of or relating to this Agreement, the Services, or the SMA shall not exceed the greater of (i) $[AMOUNT] or (ii) the fees paid by Client to Provider under this Agreement during the [TWELVE (12)] months immediately preceding the event giving rise to the claim. Neither Party is liable to the other for consequential, incidental, special, exemplary, or punitive damages, or for lost profits, arising out of or relating to this Agreement, except as provided in BAA Section 7.</w:t>
      </w:r>
    </w:p>
    <w:p>
      <w:pPr>
        <w:spacing w:after="140"/>
      </w:pPr>
      <w:r>
        <w:rPr>
          <w:b/>
          <w:bCs/>
        </w:rPr>
        <w:t xml:space="preserve">10.2  Correctly Reported, Not Acted Upon. </w:t>
      </w:r>
      <w:r>
        <w:t xml:space="preserve">Provider is not liable for any harm resulting from a Breach or Security Incident, or from any other Service Event, to the extent that Provider's technical stack correctly detected and reported the underlying condition to Client, and Provider notified Client of it, in accordance with the BAA and the SMA, but Client or Client's personnel did not act on that report within Client's own control. This Section 10.2 does not limit or excuse Provider's own notification obligations under BAA Section 3 or its own obligations under the SMA, and applies only to harm arising after Provider's notification obligations have been satisfied.</w:t>
      </w:r>
    </w:p>
    <w:p>
      <w:pPr>
        <w:shd w:fill="F2F2F2" w:color="auto" w:val="clear"/>
        <w:spacing w:after="160" w:before="100"/>
      </w:pPr>
      <w:r>
        <w:rPr>
          <w:b/>
          <w:bCs/>
          <w:i/>
          <w:iCs/>
        </w:rPr>
        <w:t xml:space="preserve">DRAFTING NOTE — </w:t>
      </w:r>
      <w:r>
        <w:rPr>
          <w:i/>
          <w:iCs/>
        </w:rPr>
        <w:t xml:space="preserve">Section 10.2 is the direct answer to a specific liability-handoff risk: your dashboard can correctly flag a silent endpoint, you can correctly notify the client, and the client can still fail to act — and without a clause like this, a plaintiff's lawyer will argue the correct detection and notification themselves establish that you knew and therefore should have done more. This clause does not, and cannot, protect you if your own detection, escalation, or notification was itself late, wrong, or inadequate — it only closes the gap for harm that occurs after you have done your part correctly. Counsel should confirm this language holds up under your state's law before you rely on it.</w:t>
      </w:r>
    </w:p>
    <w:p>
      <w:pPr>
        <w:spacing w:after="120" w:before="240"/>
      </w:pPr>
      <w:r>
        <w:rPr>
          <w:b/>
          <w:bCs/>
          <w:sz w:val="24"/>
          <w:szCs w:val="24"/>
        </w:rPr>
        <w:t xml:space="preserve">11.  Warranty Disclaimer</w:t>
      </w:r>
    </w:p>
    <w:p>
      <w:pPr>
        <w:spacing w:after="140"/>
      </w:pPr>
      <w:r>
        <w:t xml:space="preserve">EXCEPT AS EXPRESSLY SET FORTH IN THIS AGREEMENT, THE BAA, OR THE SMA, THE SERVICES ARE PROVIDED “AS IS,” AND PROVIDER DISCLAIMS ALL OTHER WARRANTIES, WHETHER EXPRESS, IMPLIED, OR STATUTORY, INCLUDING THE IMPLIED WARRANTIES OF MERCHANTABILITY, FITNESS FOR A PARTICULAR PURPOSE, AND NON-INFRINGEMENT. PROVIDER DOES NOT WARRANT THAT THE SERVICES WILL PREVENT EVERY SECURITY INCIDENT OR MALWARE INFECTION.</w:t>
      </w:r>
    </w:p>
    <w:p>
      <w:pPr>
        <w:spacing w:after="120" w:before="240"/>
      </w:pPr>
      <w:r>
        <w:rPr>
          <w:b/>
          <w:bCs/>
          <w:sz w:val="24"/>
          <w:szCs w:val="24"/>
        </w:rPr>
        <w:t xml:space="preserve">12.  Governing Law; Dispute Resolution</w:t>
      </w:r>
    </w:p>
    <w:p>
      <w:pPr>
        <w:spacing w:after="140"/>
      </w:pPr>
      <w:r>
        <w:t xml:space="preserve">This Agreement is governed by and construed in accordance with the laws of the State of [STATE], without regard to its conflict-of-laws principles, except to the extent preempted by federal law. The Parties shall attempt in good faith to resolve any dispute arising out of this Agreement through direct negotiation between senior representatives before initiating litigation or arbitration.</w:t>
      </w:r>
    </w:p>
    <w:p>
      <w:pPr>
        <w:spacing w:after="120" w:before="240"/>
      </w:pPr>
      <w:r>
        <w:rPr>
          <w:b/>
          <w:bCs/>
          <w:sz w:val="24"/>
          <w:szCs w:val="24"/>
        </w:rPr>
        <w:t xml:space="preserve">13.  Order of Precedence</w:t>
      </w:r>
    </w:p>
    <w:p>
      <w:pPr>
        <w:spacing w:after="140"/>
      </w:pPr>
      <w:r>
        <w:t xml:space="preserve">This Agreement, the SMA, and the BAA together constitute the entire agreement of the Parties with respect to the Services. In the event of a conflict among them:</w:t>
      </w:r>
    </w:p>
    <w:p>
      <w:pPr>
        <w:spacing w:after="140"/>
      </w:pPr>
      <w:r>
        <w:rPr>
          <w:b/>
          <w:bCs/>
        </w:rPr>
        <w:t xml:space="preserve">(a)  </w:t>
      </w:r>
      <w:r>
        <w:t xml:space="preserve">with respect to Protected Health Information, HIPAA, breach and security incident notification, and administrative, physical, and technical safeguards, the BAA controls;</w:t>
      </w:r>
    </w:p>
    <w:p>
      <w:pPr>
        <w:spacing w:after="140"/>
      </w:pPr>
      <w:r>
        <w:rPr>
          <w:b/>
          <w:bCs/>
        </w:rPr>
        <w:t xml:space="preserve">(b)  </w:t>
      </w:r>
      <w:r>
        <w:t xml:space="preserve">with respect to the scope of the Services, response and resolution times, coverage hours, exclusions, and Endpoint enrollment, the SMA controls; and</w:t>
      </w:r>
    </w:p>
    <w:p>
      <w:pPr>
        <w:spacing w:after="140"/>
      </w:pPr>
      <w:r>
        <w:rPr>
          <w:b/>
          <w:bCs/>
        </w:rPr>
        <w:t xml:space="preserve">(c)  </w:t>
      </w:r>
      <w:r>
        <w:t xml:space="preserve">as to all other matters, including fees, term, termination, liability, and confidentiality, this Agreement controls.</w:t>
      </w:r>
    </w:p>
    <w:p>
      <w:pPr>
        <w:spacing w:after="120" w:before="240"/>
      </w:pPr>
      <w:r>
        <w:rPr>
          <w:b/>
          <w:bCs/>
          <w:sz w:val="24"/>
          <w:szCs w:val="24"/>
        </w:rPr>
        <w:t xml:space="preserve">14.  Miscellaneous</w:t>
      </w:r>
    </w:p>
    <w:p>
      <w:pPr>
        <w:spacing w:after="140"/>
      </w:pPr>
      <w:r>
        <w:rPr>
          <w:b/>
          <w:bCs/>
        </w:rPr>
        <w:t xml:space="preserve">14.1  Assignment. </w:t>
      </w:r>
      <w:r>
        <w:t xml:space="preserve">Neither Party may assign this Agreement without the other Party's prior written consent, except to a successor in interest by merger, acquisition, or sale of substantially all assets.</w:t>
      </w:r>
    </w:p>
    <w:p>
      <w:pPr>
        <w:spacing w:after="140"/>
      </w:pPr>
      <w:r>
        <w:rPr>
          <w:b/>
          <w:bCs/>
        </w:rPr>
        <w:t xml:space="preserve">14.2  Notices. </w:t>
      </w:r>
      <w:r>
        <w:t xml:space="preserve">All notices shall be in writing and delivered to the addresses set forth in the SMA.</w:t>
      </w:r>
    </w:p>
    <w:p>
      <w:pPr>
        <w:spacing w:after="140"/>
      </w:pPr>
      <w:r>
        <w:rPr>
          <w:b/>
          <w:bCs/>
        </w:rPr>
        <w:t xml:space="preserve">14.3  Severability. </w:t>
      </w:r>
      <w:r>
        <w:t xml:space="preserve">If any provision of this Agreement is held invalid or unenforceable, the remaining provisions remain in full force and effect.</w:t>
      </w:r>
    </w:p>
    <w:p>
      <w:pPr>
        <w:spacing w:after="140"/>
      </w:pPr>
      <w:r>
        <w:rPr>
          <w:b/>
          <w:bCs/>
        </w:rPr>
        <w:t xml:space="preserve">14.4  Amendment. </w:t>
      </w:r>
      <w:r>
        <w:t xml:space="preserve">Any amendment to this Agreement must be in writing and signed by both Parties; the SMA may be updated as provided in Section 2.5 and SMA Section 10 without amending this Agreement generally.</w:t>
      </w:r>
    </w:p>
    <w:p>
      <w:pPr>
        <w:spacing w:after="140"/>
      </w:pPr>
      <w:r>
        <w:rPr>
          <w:b/>
          <w:bCs/>
        </w:rPr>
        <w:t xml:space="preserve">14.5  Counterparts. </w:t>
      </w:r>
      <w:r>
        <w:t xml:space="preserve">This Agreement may be executed in counterparts, each of which is an original, and electronic signatures have the same effect as original signatures.</w:t>
      </w:r>
    </w:p>
    <w:p>
      <w:pPr>
        <w:pBdr>
          <w:bottom w:val="single" w:color="999999" w:sz="6"/>
        </w:pBdr>
        <w:spacing w:after="200"/>
      </w:pPr>
      <w:r>
        <w:t xml:space="preserve"/>
      </w:r>
    </w:p>
    <w:p>
      <w:pPr>
        <w:spacing w:after="140"/>
      </w:pPr>
      <w:r>
        <w:t xml:space="preserve">IN WITNESS WHEREOF, the Parties have caused this Agreement to be executed by their duly authorized representatives as of the Effective Date.</w:t>
      </w:r>
    </w:p>
    <w:p>
      <w:pPr>
        <w:spacing w:after="140"/>
      </w:pPr>
      <w:r>
        <w:rPr>
          <w:b/>
          <w:bCs/>
        </w:rPr>
        <w:t xml:space="preserve">CLIENT</w:t>
      </w:r>
    </w:p>
    <w:p>
      <w:pPr>
        <w:spacing w:after="140"/>
      </w:pPr>
      <w:r>
        <w:t xml:space="preserve">By: ______________________________________________</w:t>
      </w:r>
    </w:p>
    <w:p>
      <w:pPr>
        <w:spacing w:after="140"/>
      </w:pPr>
      <w:r>
        <w:t xml:space="preserve">Printed name: _____________________________________</w:t>
      </w:r>
    </w:p>
    <w:p>
      <w:pPr>
        <w:spacing w:after="140"/>
      </w:pPr>
      <w:r>
        <w:t xml:space="preserve">Title: _____________________________________________</w:t>
      </w:r>
    </w:p>
    <w:p>
      <w:pPr>
        <w:spacing w:after="140"/>
      </w:pPr>
      <w:r>
        <w:t xml:space="preserve">Date: _____________________________________________</w:t>
      </w:r>
    </w:p>
    <w:p>
      <w:pPr>
        <w:spacing w:after="140"/>
      </w:pPr>
      <w:r>
        <w:rPr>
          <w:b/>
          <w:bCs/>
        </w:rPr>
        <w:t xml:space="preserve">PROVIDER</w:t>
      </w:r>
    </w:p>
    <w:p>
      <w:pPr>
        <w:spacing w:after="140"/>
      </w:pPr>
      <w:r>
        <w:t xml:space="preserve">By: ______________________________________________</w:t>
      </w:r>
    </w:p>
    <w:p>
      <w:pPr>
        <w:spacing w:after="140"/>
      </w:pPr>
      <w:r>
        <w:t xml:space="preserve">Printed name: _____________________________________</w:t>
      </w:r>
    </w:p>
    <w:p>
      <w:pPr>
        <w:spacing w:after="140"/>
      </w:pPr>
      <w:r>
        <w:t xml:space="preserve">Title: _____________________________________________</w:t>
      </w:r>
    </w:p>
    <w:p>
      <w:pPr>
        <w:spacing w:after="140"/>
      </w:pPr>
      <w:r>
        <w:t xml:space="preserve">Date: 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2026-09-08T00:46:45.476Z</dcterms:created>
  <dcterms:modified xsi:type="dcterms:W3CDTF">2026-09-08T00:46:45.476Z</dcterms:modified>
</cp:coreProperties>
</file>

<file path=docProps/custom.xml><?xml version="1.0" encoding="utf-8"?>
<Properties xmlns="http://schemas.openxmlformats.org/officeDocument/2006/custom-properties" xmlns:vt="http://schemas.openxmlformats.org/officeDocument/2006/docPropsVTypes"/>
</file>