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ENDPOINT SHIELD SOLUTIONS</w:t>
      </w:r>
    </w:p>
    <w:p>
      <w:pPr>
        <w:spacing w:after="120"/>
        <w:jc w:val="center"/>
      </w:pPr>
      <w:r>
        <w:t xml:space="preserve">Endpoint Security &amp; Compliance Monitoring</w:t>
      </w:r>
    </w:p>
    <w:p>
      <w:pPr>
        <w:spacing w:after="200"/>
        <w:jc w:val="center"/>
      </w:pPr>
      <w:r>
        <w:rPr>
          <w:b/>
          <w:bCs/>
          <w:sz w:val="22"/>
          <w:szCs w:val="22"/>
        </w:rPr>
        <w:t xml:space="preserve">SCHEDULE A TO THE MASTER SERVICE AGREEMENT</w:t>
      </w:r>
    </w:p>
    <w:p>
      <w:pPr>
        <w:spacing w:after="120"/>
        <w:jc w:val="center"/>
      </w:pPr>
      <w:r>
        <w:t xml:space="preserve">Service Management Agreement (“SMA”)</w:t>
      </w:r>
    </w:p>
    <w:p>
      <w:pPr>
        <w:pBdr>
          <w:bottom w:val="single" w:color="999999" w:sz="6"/>
        </w:pBdr>
        <w:spacing w:after="200"/>
      </w:pPr>
      <w:r>
        <w:t xml:space="preserve"/>
      </w:r>
    </w:p>
    <w:p>
      <w:pPr>
        <w:spacing w:after="140"/>
      </w:pPr>
      <w:r>
        <w:t xml:space="preserve">This Service Management Agreement (this “SMA”) is Schedule A to, and is incorporated into and made a part of, the Master Service Agreement between [CLIENT LEGAL NAME] (“Client”) and Endpoint Shield Solutions (“Provider”) dated as of ____________________ (the “MSA”). Capitalized terms not defined in this SMA have the meanings given in the MSA and, with respect to Protected Health Information, the Business Associate Agreement between the Parties (the “BAA”). This Schedule is provided to Client. Complete every bracketed field. Do not leave a placeholder in an executed agreement.</w:t>
      </w:r>
    </w:p>
    <w:p>
      <w:pPr>
        <w:spacing w:after="120" w:before="240"/>
      </w:pPr>
      <w:r>
        <w:rPr>
          <w:b/>
          <w:bCs/>
          <w:sz w:val="24"/>
          <w:szCs w:val="24"/>
        </w:rPr>
        <w:t xml:space="preserve">1.  Enrolled Endpoints</w:t>
      </w:r>
    </w:p>
    <w:p>
      <w:pPr>
        <w:spacing w:after="140"/>
      </w:pPr>
      <w:r>
        <w:t xml:space="preserve">Endpoints enrolled in the Services as of the Effective Date: [NUMBER]. Locations covered: [LIST]. Endpoints are added or removed only by written request under MSA Section 2.5; only enrolled Endpoints are within scope of this SMA.</w:t>
      </w:r>
    </w:p>
    <w:p>
      <w:pPr>
        <w:spacing w:after="120" w:before="240"/>
      </w:pPr>
      <w:r>
        <w:rPr>
          <w:b/>
          <w:bCs/>
          <w:sz w:val="24"/>
          <w:szCs w:val="24"/>
        </w:rPr>
        <w:t xml:space="preserve">2.  Scope of Services (Included)</w:t>
      </w:r>
    </w:p>
    <w:p>
      <w:pPr>
        <w:spacing w:after="140"/>
      </w:pPr>
      <w:r>
        <w:t xml:space="preserve">The Services include:</w:t>
      </w:r>
    </w:p>
    <w:p>
      <w:pPr>
        <w:spacing w:after="140"/>
      </w:pPr>
      <w:r>
        <w:t xml:space="preserve">(a)  Continuous, automated endpoint monitoring and heartbeat reporting for each enrolled Endpoint;</w:t>
      </w:r>
    </w:p>
    <w:p>
      <w:pPr>
        <w:spacing w:after="140"/>
      </w:pPr>
      <w:r>
        <w:t xml:space="preserve">(b)  Antivirus and endpoint-protection orchestration, including definition-update and agent-health tracking;</w:t>
      </w:r>
    </w:p>
    <w:p>
      <w:pPr>
        <w:spacing w:after="140"/>
      </w:pPr>
      <w:r>
        <w:t xml:space="preserve">(c)  Device inventory and configuration tracking for enrolled Endpoints;</w:t>
      </w:r>
    </w:p>
    <w:p>
      <w:pPr>
        <w:spacing w:after="140"/>
      </w:pPr>
      <w:r>
        <w:t xml:space="preserve">(d)  Remote help-desk support for enrolled Endpoints during Business Hours; and</w:t>
      </w:r>
    </w:p>
    <w:p>
      <w:pPr>
        <w:spacing w:after="140"/>
      </w:pPr>
      <w:r>
        <w:t xml:space="preserve">(e)  The periodic written report described in Section 8.</w:t>
      </w:r>
    </w:p>
    <w:p>
      <w:pPr>
        <w:spacing w:after="120" w:before="240"/>
      </w:pPr>
      <w:r>
        <w:rPr>
          <w:b/>
          <w:bCs/>
          <w:sz w:val="24"/>
          <w:szCs w:val="24"/>
        </w:rPr>
        <w:t xml:space="preserve">3.  Exclusions</w:t>
      </w:r>
    </w:p>
    <w:p>
      <w:pPr>
        <w:spacing w:after="140"/>
      </w:pPr>
      <w:r>
        <w:t xml:space="preserve">The Services do not include, and this SMA's response times, resolution times, coverage-hour commitments, and any service credits under Section 9 do not apply to:</w:t>
      </w:r>
    </w:p>
    <w:p>
      <w:pPr>
        <w:spacing w:after="140"/>
      </w:pPr>
      <w:r>
        <w:t xml:space="preserve">(a)  Printer hardware repair, maintenance, driver installation, or consumables;</w:t>
      </w:r>
    </w:p>
    <w:p>
      <w:pPr>
        <w:spacing w:after="140"/>
      </w:pPr>
      <w:r>
        <w:t xml:space="preserve">(b)  Website hosting, domain administration, website development, or website repair;</w:t>
      </w:r>
    </w:p>
    <w:p>
      <w:pPr>
        <w:spacing w:after="140"/>
      </w:pPr>
      <w:r>
        <w:t xml:space="preserve">(c)  Procurement of new hardware or software licensing; and</w:t>
      </w:r>
    </w:p>
    <w:p>
      <w:pPr>
        <w:spacing w:after="140"/>
      </w:pPr>
      <w:r>
        <w:t xml:space="preserve">(d)  Cabling, network infrastructure installation, or projects outside ordinary break-fix support, unless separately quoted and agreed in writing.</w:t>
      </w:r>
    </w:p>
    <w:p>
      <w:pPr>
        <w:shd w:fill="F2F2F2" w:color="auto" w:val="clear"/>
        <w:spacing w:after="160" w:before="100"/>
      </w:pPr>
      <w:r>
        <w:rPr>
          <w:b/>
          <w:bCs/>
          <w:i/>
          <w:iCs/>
        </w:rPr>
        <w:t xml:space="preserve">DRAFTING NOTE — </w:t>
      </w:r>
      <w:r>
        <w:rPr>
          <w:i/>
          <w:iCs/>
        </w:rPr>
        <w:t xml:space="preserve">This is the “SMA excludes printer and website repair” provision, made explicit and enumerated rather than left as a verbal understanding. The bridge clause immediately below is what keeps this exclusion from being read — by you, a client, or an auditor — as also excluding PHI encountered while doing that work from the BAA's protections. Do not delete the bridge clause even if you shorten this list.</w:t>
      </w:r>
    </w:p>
    <w:p>
      <w:pPr>
        <w:spacing w:after="140"/>
      </w:pPr>
      <w:r>
        <w:rPr>
          <w:b/>
          <w:bCs/>
        </w:rPr>
        <w:t xml:space="preserve">Bridge to the BAA and the MSA — </w:t>
      </w:r>
      <w:r>
        <w:t xml:space="preserve">Exclusion of an item under this Section 3 removes it from the scope of the Services for purposes of the response times, resolution times, coverage-hour commitments, and service credits in this SMA, consistent with MSA Section 2.4. It does not narrow, limit, or excuse Provider's obligations under the BAA with respect to any Protected Health Information Provider encounters in the course of performing excluded work at Client's request; the BAA applies in full to any such Protected Health Information regardless of whether the underlying work is in or out of scope under this SMA.</w:t>
      </w:r>
    </w:p>
    <w:p>
      <w:pPr>
        <w:spacing w:after="120" w:before="240"/>
      </w:pPr>
      <w:r>
        <w:rPr>
          <w:b/>
          <w:bCs/>
          <w:sz w:val="24"/>
          <w:szCs w:val="24"/>
        </w:rPr>
        <w:t xml:space="preserve">4.  Service Coverage Hours</w:t>
      </w:r>
    </w:p>
    <w:p>
      <w:pPr>
        <w:spacing w:after="140"/>
      </w:pPr>
      <w:r>
        <w:t xml:space="preserve">Business Hours: [DAYS], [START TIME] to [END TIME] [TIME ZONE]. Hours observed as holidays: [LIST]. Coverage outside Business Hours: [DESCRIBE ACTUAL AFTER-HOURS COVERAGE, IF ANY — OR STATE “NONE”].</w:t>
      </w:r>
    </w:p>
    <w:p>
      <w:pPr>
        <w:spacing w:after="140"/>
      </w:pPr>
      <w:r>
        <w:rPr>
          <w:b/>
          <w:bCs/>
        </w:rPr>
        <w:t xml:space="preserve">DRAFTING NOTE — </w:t>
      </w:r>
      <w:r>
        <w:t xml:space="preserve">State your actual staffed hours here, and only your actual staffed hours. Automated telemetry collection runs continuously; that is a true statement about the platform, not about who is watching it. Do not describe the Services as “24/7 monitoring” in this SMA, in marketing, or in conversation unless staffed alerting and escalation genuinely operate around the clock — this is the same representation the BAA itself warns against in Section 2.3, and it is tested after every incident.</w:t>
      </w:r>
    </w:p>
    <w:p>
      <w:pPr>
        <w:spacing w:after="120" w:before="240"/>
      </w:pPr>
      <w:r>
        <w:rPr>
          <w:b/>
          <w:bCs/>
          <w:sz w:val="24"/>
          <w:szCs w:val="24"/>
        </w:rPr>
        <w:t xml:space="preserve">5.  Response and Resolution Targets</w:t>
      </w:r>
    </w:p>
    <w:p>
      <w:pPr>
        <w:spacing w:after="140"/>
      </w:pPr>
      <w:r>
        <w:t xml:space="preserve">For Service Events reported or detected during Business Hours, Provider targets the following response and resolution times, measured from Discovery or Client's report, whichever is earlier:</w:t>
      </w:r>
    </w:p>
    <w:p>
      <w:pPr>
        <w:spacing w:after="140"/>
      </w:pPr>
      <w:r>
        <w:t xml:space="preserve">Critical (Endpoint offline / protection disabled fleet-wide): response within [ONE (1)] hour; resolution target within [FOUR (4)] hours.</w:t>
      </w:r>
    </w:p>
    <w:p>
      <w:pPr>
        <w:spacing w:after="140"/>
      </w:pPr>
      <w:r>
        <w:t xml:space="preserve">High (single Endpoint offline / protection disabled): response within [FOUR (4)] hours; resolution target within [ONE (1)] business day.</w:t>
      </w:r>
    </w:p>
    <w:p>
      <w:pPr>
        <w:spacing w:after="140"/>
      </w:pPr>
      <w:r>
        <w:t xml:space="preserve">Medium (degraded performance, non-blocking): response within [ONE (1)] business day; resolution target within [THREE (3)] business days.</w:t>
      </w:r>
    </w:p>
    <w:p>
      <w:pPr>
        <w:spacing w:after="140"/>
      </w:pPr>
      <w:r>
        <w:t xml:space="preserve">Low (informational, cosmetic, or scheduled maintenance): response within [THREE (3)] business days; resolution target within [TEN (10)] business days.</w:t>
      </w:r>
    </w:p>
    <w:p>
      <w:pPr>
        <w:spacing w:after="140"/>
      </w:pPr>
      <w:r>
        <w:rPr>
          <w:b/>
          <w:bCs/>
        </w:rPr>
        <w:t xml:space="preserve">Bridge to the BAA — </w:t>
      </w:r>
      <w:r>
        <w:t xml:space="preserve">The response and resolution targets in this Section 5 apply only to Service Events as defined in the MSA. They do not apply to, and are superseded by, the notification timelines in BAA Section 3 for any Breach or Security Incident, which control regardless of any conflicting severity classification or target in this Section, and regardless of whether the underlying condition was initially triaged under this Section before its nature became apparent.</w:t>
      </w:r>
    </w:p>
    <w:p>
      <w:pPr>
        <w:spacing w:after="120" w:before="240"/>
      </w:pPr>
      <w:r>
        <w:rPr>
          <w:b/>
          <w:bCs/>
          <w:sz w:val="24"/>
          <w:szCs w:val="24"/>
        </w:rPr>
        <w:t xml:space="preserve">6.  On-Site Visits</w:t>
      </w:r>
    </w:p>
    <w:p>
      <w:pPr>
        <w:spacing w:after="140"/>
      </w:pPr>
      <w:r>
        <w:t xml:space="preserve">On-Site Visits are billed as set forth in MSA Section 2.3: a dispatch fee of $[ON-SITE DISPATCH FEE], a premium hourly rate of $[ON-SITE HOURLY RATE] per hour during Business Hours (minimum [ONE (1)] hour, billed in [FIFTEEN (15)]-minute increments thereafter, including travel time), and $[AFTER-HOURS ON-SITE HOURLY RATE] per hour outside Business Hours. Client authorization is required above $[AUTHORIZATION THRESHOLD] as described in MSA Section 2.3(d). These figures are repeated here for reference only; in the event of any conflict between this Section and MSA Section 2.3, MSA Section 2.3 controls.</w:t>
      </w:r>
    </w:p>
    <w:p>
      <w:pPr>
        <w:spacing w:after="120" w:before="240"/>
      </w:pPr>
      <w:r>
        <w:rPr>
          <w:b/>
          <w:bCs/>
          <w:sz w:val="24"/>
          <w:szCs w:val="24"/>
        </w:rPr>
        <w:t xml:space="preserve">7.  Endpoint Health Reporting</w:t>
      </w:r>
    </w:p>
    <w:p>
      <w:pPr>
        <w:spacing w:after="140"/>
      </w:pPr>
      <w:r>
        <w:t xml:space="preserve">Provider's automated endpoint health function measures Endpoint availability and reporting status and is made available to Client on demand and in the periodic report described in Section 8. Consistent with BAA Section 2.4, this function is a Service Event indicator only; it does not constitute, and is not represented as satisfying, the audit-controls requirement of 45 CFR § 164.312(b), which is addressed separately in BAA Section 2.2(c).</w:t>
      </w:r>
    </w:p>
    <w:p>
      <w:pPr>
        <w:spacing w:after="120" w:before="240"/>
      </w:pPr>
      <w:r>
        <w:rPr>
          <w:b/>
          <w:bCs/>
          <w:sz w:val="24"/>
          <w:szCs w:val="24"/>
        </w:rPr>
        <w:t xml:space="preserve">8.  Reporting</w:t>
      </w:r>
    </w:p>
    <w:p>
      <w:pPr>
        <w:spacing w:after="140"/>
      </w:pPr>
      <w:r>
        <w:t xml:space="preserve">Provider shall furnish Client a written report at a [MONTHLY] interval, consistent with BAA Section 2.3, documenting enrolled Endpoints, reporting status for the period, Service Events and their resolution, and any On-Site Visits performed.</w:t>
      </w:r>
    </w:p>
    <w:p>
      <w:pPr>
        <w:spacing w:after="120" w:before="240"/>
      </w:pPr>
      <w:r>
        <w:rPr>
          <w:b/>
          <w:bCs/>
          <w:sz w:val="24"/>
          <w:szCs w:val="24"/>
        </w:rPr>
        <w:t xml:space="preserve">9.  Service Credits</w:t>
      </w:r>
    </w:p>
    <w:p>
      <w:pPr>
        <w:spacing w:after="140"/>
      </w:pPr>
      <w:r>
        <w:t xml:space="preserve">[OPTIONAL — IF OFFERED] If Provider fails to meet the resolution target for a Critical Service Event under Section 5 in a given calendar month, Client's monthly service fee for that month is reduced by [FIVE PERCENT (5%)] for each such failure, up to a maximum reduction of [TWENTY-FIVE PERCENT (25%)] in any single month. Service credits are Client's sole and exclusive remedy for a missed target under Section 5 and do not apply to any matter governed by the BAA.</w:t>
      </w:r>
    </w:p>
    <w:p>
      <w:pPr>
        <w:spacing w:after="120" w:before="240"/>
      </w:pPr>
      <w:r>
        <w:rPr>
          <w:b/>
          <w:bCs/>
          <w:sz w:val="24"/>
          <w:szCs w:val="24"/>
        </w:rPr>
        <w:t xml:space="preserve">10.  Change Management</w:t>
      </w:r>
    </w:p>
    <w:p>
      <w:pPr>
        <w:spacing w:after="140"/>
      </w:pPr>
      <w:r>
        <w:t xml:space="preserve">This SMA may be updated by written agreement of the Parties (including by email between the Parties' designated contacts) to reflect changes in enrolled Endpoints, coverage hours, or response targets, without amending the MSA generally. Any change to the fees in Section 6 requires the notice specified in MSA Section 2.3(e).</w:t>
      </w:r>
    </w:p>
    <w:p>
      <w:pPr>
        <w:spacing w:after="120" w:before="240"/>
      </w:pPr>
      <w:r>
        <w:rPr>
          <w:b/>
          <w:bCs/>
          <w:sz w:val="24"/>
          <w:szCs w:val="24"/>
        </w:rPr>
        <w:t xml:space="preserve">11.  Notice Contacts</w:t>
      </w:r>
    </w:p>
    <w:p>
      <w:pPr>
        <w:spacing w:after="140"/>
      </w:pPr>
      <w:r>
        <w:t xml:space="preserve">Client: [NAME, EMAIL, PHONE]. Provider: Endpoint Shield Solutions, [NAME, EMAIL, PHONE]. Breach and Security Incident notices are governed exclusively by BAA Section 3.7.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2026-09-08T00:46:45.482Z</dcterms:created>
  <dcterms:modified xsi:type="dcterms:W3CDTF">2026-09-08T00:46:45.482Z</dcterms:modified>
</cp:coreProperties>
</file>

<file path=docProps/custom.xml><?xml version="1.0" encoding="utf-8"?>
<Properties xmlns="http://schemas.openxmlformats.org/officeDocument/2006/custom-properties" xmlns:vt="http://schemas.openxmlformats.org/officeDocument/2006/docPropsVTypes"/>
</file>