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</w:pPr>
      <w:r>
        <w:rPr>
          <w:rFonts w:ascii="Manrope" w:hAnsi="Manrope"/>
          <w:b/>
          <w:color w:val="2B2621"/>
          <w:sz w:val="44"/>
        </w:rPr>
        <w:t>Сотрудничество: инструкция по сборке</w:t>
      </w:r>
    </w:p>
    <w:p>
      <w:r>
        <w:rPr>
          <w:rFonts w:ascii="Manrope" w:hAnsi="Manrope"/>
          <w:color w:val="7A6F63"/>
          <w:sz w:val="22"/>
        </w:rPr>
        <w:t>Пакет материалов для Tilda</w:t>
      </w:r>
    </w:p>
    <w:p/>
    <w:p>
      <w:pPr>
        <w:spacing w:after="120"/>
      </w:pPr>
      <w:r>
        <w:rPr>
          <w:rFonts w:ascii="Manrope" w:hAnsi="Manrope"/>
          <w:b w:val="0"/>
          <w:color w:val="2B2621"/>
          <w:sz w:val="20"/>
        </w:rPr>
        <w:t>Всё, что нужно, чтобы собрать страницу руками — без доступа к вашему проекту. Скачайте три файла из этой папки и работайте по порядку.</w:t>
      </w:r>
    </w:p>
    <w:p>
      <w:pPr>
        <w:spacing w:before="120" w:after="120"/>
        <w:pBdr>
          <w:bottom w:val="single" w:sz="4" w:color="E4DBCD"/>
        </w:pBdr>
      </w:pPr>
    </w:p>
    <w:p>
      <w:pPr>
        <w:keepNext/>
        <w:spacing w:before="280" w:after="80"/>
      </w:pPr>
      <w:r>
        <w:rPr>
          <w:rFonts w:ascii="Manrope" w:hAnsi="Manrope"/>
          <w:b/>
          <w:color w:val="2F6F6B"/>
          <w:sz w:val="27"/>
        </w:rPr>
        <w:t>Что в пакете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F6F1E9"/>
          </w:tcPr>
          <w:p>
            <w:pPr>
              <w:spacing w:after="40"/>
            </w:pPr>
            <w:r/>
            <w:r>
              <w:rPr>
                <w:rFonts w:ascii="Manrope" w:hAnsi="Manrope"/>
                <w:b/>
                <w:color w:val="7A6F63"/>
                <w:sz w:val="18"/>
              </w:rPr>
              <w:t>Файл</w:t>
            </w:r>
          </w:p>
        </w:tc>
        <w:tc>
          <w:tcPr>
            <w:tcW w:type="dxa" w:w="4986"/>
            <w:shd w:val="clear" w:color="auto" w:fill="F6F1E9"/>
          </w:tcPr>
          <w:p>
            <w:pPr>
              <w:spacing w:after="40"/>
            </w:pPr>
            <w:r/>
            <w:r>
              <w:rPr>
                <w:rFonts w:ascii="Manrope" w:hAnsi="Manrope"/>
                <w:b/>
                <w:color w:val="7A6F63"/>
                <w:sz w:val="18"/>
              </w:rPr>
              <w:t>Зачем</w:t>
            </w:r>
          </w:p>
        </w:tc>
      </w:tr>
      <w:tr>
        <w:tc>
          <w:tcPr>
            <w:tcW w:type="dxa" w:w="4986"/>
          </w:tcPr>
          <w:p>
            <w:pPr>
              <w:spacing w:after="40"/>
            </w:pPr>
            <w:r/>
            <w:r>
              <w:rPr>
                <w:rFonts w:ascii="DejaVu Sans Mono" w:hAnsi="DejaVu Sans Mono"/>
                <w:b w:val="0"/>
                <w:color w:val="2B2621"/>
                <w:sz w:val="18"/>
              </w:rPr>
              <w:t>TEKST-dlya-Tilda.md</w:t>
            </w:r>
          </w:p>
        </w:tc>
        <w:tc>
          <w:tcPr>
            <w:tcW w:type="dxa" w:w="4986"/>
          </w:tcPr>
          <w:p>
            <w:pPr>
              <w:spacing w:after="40"/>
            </w:pPr>
            <w:r/>
            <w:r>
              <w:rPr>
                <w:rFonts w:ascii="Manrope" w:hAnsi="Manrope"/>
                <w:b w:val="0"/>
                <w:color w:val="2B2621"/>
                <w:sz w:val="18"/>
              </w:rPr>
              <w:t>текст всех 13 блоков под копирование + настройки страницы, цвета, шрифты, список вопросов владельцу</w:t>
            </w:r>
          </w:p>
        </w:tc>
      </w:tr>
      <w:tr>
        <w:tc>
          <w:tcPr>
            <w:tcW w:type="dxa" w:w="4986"/>
          </w:tcPr>
          <w:p>
            <w:pPr>
              <w:spacing w:after="40"/>
            </w:pPr>
            <w:r/>
            <w:r>
              <w:rPr>
                <w:rFonts w:ascii="DejaVu Sans Mono" w:hAnsi="DejaVu Sans Mono"/>
                <w:b w:val="0"/>
                <w:color w:val="2B2621"/>
                <w:sz w:val="18"/>
              </w:rPr>
              <w:t>MAKET-stranicy.jpg</w:t>
            </w:r>
          </w:p>
        </w:tc>
        <w:tc>
          <w:tcPr>
            <w:tcW w:type="dxa" w:w="4986"/>
          </w:tcPr>
          <w:p>
            <w:pPr>
              <w:spacing w:after="40"/>
            </w:pPr>
            <w:r/>
            <w:r>
              <w:rPr>
                <w:rFonts w:ascii="Manrope" w:hAnsi="Manrope"/>
                <w:b w:val="0"/>
                <w:color w:val="2B2621"/>
                <w:sz w:val="18"/>
              </w:rPr>
              <w:t>макет страницы целиком (1600 × 8432): как должны лечь блоки, тексты и фото. Каждый блок подписан: каким элементом Tilda собирать</w:t>
            </w:r>
          </w:p>
        </w:tc>
      </w:tr>
      <w:tr>
        <w:tc>
          <w:tcPr>
            <w:tcW w:type="dxa" w:w="4986"/>
          </w:tcPr>
          <w:p>
            <w:pPr>
              <w:spacing w:after="40"/>
            </w:pPr>
            <w:r/>
            <w:r>
              <w:rPr>
                <w:rFonts w:ascii="DejaVu Sans Mono" w:hAnsi="DejaVu Sans Mono"/>
                <w:b w:val="0"/>
                <w:color w:val="2B2621"/>
                <w:sz w:val="18"/>
              </w:rPr>
              <w:t>foto-01…foto-06.jpg</w:t>
            </w:r>
          </w:p>
        </w:tc>
        <w:tc>
          <w:tcPr>
            <w:tcW w:type="dxa" w:w="4986"/>
          </w:tcPr>
          <w:p>
            <w:pPr>
              <w:spacing w:after="40"/>
            </w:pPr>
            <w:r/>
            <w:r>
              <w:rPr>
                <w:rFonts w:ascii="Manrope" w:hAnsi="Manrope"/>
                <w:b w:val="0"/>
                <w:color w:val="2B2621"/>
                <w:sz w:val="18"/>
              </w:rPr>
              <w:t>шесть изображений для блоков (обложка, макро, палитра, процесс, размер, борд)</w:t>
            </w:r>
          </w:p>
        </w:tc>
      </w:tr>
    </w:tbl>
    <w:p>
      <w:pPr>
        <w:spacing w:after="40"/>
      </w:pPr>
    </w:p>
    <w:p>
      <w:pPr>
        <w:spacing w:after="120"/>
      </w:pPr>
      <w:r>
        <w:rPr>
          <w:rFonts w:ascii="Manrope" w:hAnsi="Manrope"/>
          <w:b w:val="0"/>
          <w:color w:val="2B2621"/>
          <w:sz w:val="20"/>
        </w:rPr>
        <w:t>Архив со всем сразу: SM-BAKMASTERS-sotrudnichestvo.zip (в папке docs/).</w:t>
      </w:r>
    </w:p>
    <w:p>
      <w:pPr>
        <w:spacing w:before="120" w:after="120"/>
        <w:pBdr>
          <w:bottom w:val="single" w:sz="4" w:color="E4DBCD"/>
        </w:pBdr>
      </w:pPr>
    </w:p>
    <w:p>
      <w:pPr>
        <w:keepNext/>
        <w:spacing w:before="280" w:after="80"/>
      </w:pPr>
      <w:r>
        <w:rPr>
          <w:rFonts w:ascii="Manrope" w:hAnsi="Manrope"/>
          <w:b/>
          <w:color w:val="2F6F6B"/>
          <w:sz w:val="27"/>
        </w:rPr>
        <w:t>Порядок сборки — 40 минут</w:t>
      </w:r>
    </w:p>
    <w:p>
      <w:pPr>
        <w:spacing w:after="120"/>
      </w:pPr>
      <w:r>
        <w:rPr>
          <w:rFonts w:ascii="Manrope" w:hAnsi="Manrope"/>
          <w:b w:val="0"/>
          <w:color w:val="2B2621"/>
          <w:sz w:val="20"/>
        </w:rPr>
        <w:t>1. Создать страницу (2 мин) «Страницы» → «Создать» → пустая. URL: sotrudnichestvo. Вкладка SEO: вставить Title и Description из TEKST-dlya-Tilda.md (самый верх файла).</w:t>
      </w:r>
    </w:p>
    <w:p>
      <w:pPr>
        <w:spacing w:after="120"/>
      </w:pPr>
      <w:r>
        <w:rPr>
          <w:rFonts w:ascii="Manrope" w:hAnsi="Manrope"/>
          <w:b w:val="0"/>
          <w:color w:val="2B2621"/>
          <w:sz w:val="20"/>
        </w:rPr>
        <w:t>2. Собрать блоки (30 мин) Идёте по файлу сверху вниз. Перед каждым блоком написано: Элемент Tilda: T-cards — сетка 3 × 2. Смотрите в MAKET-stranicy.jpg, как блок должен выглядеть, и повторяете у себя тем же элементом. Тексты копируете из файла — они уже финальные, ничего дописывать не нужно.</w:t>
      </w:r>
    </w:p>
    <w:p>
      <w:pPr>
        <w:spacing w:after="120"/>
      </w:pPr>
      <w:r>
        <w:rPr>
          <w:rFonts w:ascii="Manrope" w:hAnsi="Manrope"/>
          <w:b w:val="0"/>
          <w:color w:val="2B2621"/>
          <w:sz w:val="20"/>
        </w:rPr>
        <w:t>3. Настроить цвета и шрифты (5 мин) Палитра и размеры — в разделе «Настройки оформления» в конце файла с текстом. Проще всего: «Настройки сайта» → «Цвета» → поставить фон страницы #F6F1E9, акцент #2F6F6B.</w:t>
      </w:r>
    </w:p>
    <w:p>
      <w:pPr>
        <w:spacing w:after="120"/>
      </w:pPr>
      <w:r>
        <w:rPr>
          <w:rFonts w:ascii="Manrope" w:hAnsi="Manrope"/>
          <w:b w:val="0"/>
          <w:color w:val="2B2621"/>
          <w:sz w:val="20"/>
        </w:rPr>
        <w:t>4. Форма (3 мин) T-form: включить загрузку файлов, поставить чекбокс согласия со ссылкой на /privacypolicy, добавить копию заявки на bak.masters@yandex.ru. Отправить тестовую заявку.</w:t>
      </w:r>
    </w:p>
    <w:p>
      <w:pPr>
        <w:spacing w:before="120" w:after="120"/>
        <w:pBdr>
          <w:bottom w:val="single" w:sz="4" w:color="E4DBCD"/>
        </w:pBdr>
      </w:pPr>
    </w:p>
    <w:p>
      <w:pPr>
        <w:keepNext/>
        <w:spacing w:before="280" w:after="80"/>
      </w:pPr>
      <w:r>
        <w:rPr>
          <w:rFonts w:ascii="Manrope" w:hAnsi="Manrope"/>
          <w:b/>
          <w:color w:val="2F6F6B"/>
          <w:sz w:val="27"/>
        </w:rPr>
        <w:t>Где на макете что находится</w:t>
      </w:r>
    </w:p>
    <w:p>
      <w:pPr>
        <w:spacing w:after="0"/>
        <w:ind w:left="227"/>
        <w:shd w:val="clear" w:fill="F2EEE7"/>
      </w:pPr>
      <w:r>
        <w:rPr>
          <w:rFonts w:ascii="DejaVu Sans Mono" w:hAnsi="DejaVu Sans Mono"/>
          <w:color w:val="2B2621"/>
          <w:sz w:val="18"/>
        </w:rPr>
        <w:t>0–800 px      обложка: фото, H1, подзаголовок, 2 кнопки, 4 плашки</w:t>
      </w:r>
    </w:p>
    <w:p>
      <w:pPr>
        <w:spacing w:after="0"/>
        <w:ind w:left="227"/>
        <w:shd w:val="clear" w:fill="F2EEE7"/>
      </w:pPr>
      <w:r>
        <w:rPr>
          <w:rFonts w:ascii="DejaVu Sans Mono" w:hAnsi="DejaVu Sans Mono"/>
          <w:color w:val="2B2621"/>
          <w:sz w:val="18"/>
        </w:rPr>
        <w:t>800–2100      шесть причин (3 × 2 карточки)</w:t>
      </w:r>
    </w:p>
    <w:p>
      <w:pPr>
        <w:spacing w:after="0"/>
        <w:ind w:left="227"/>
        <w:shd w:val="clear" w:fill="F2EEE7"/>
      </w:pPr>
      <w:r>
        <w:rPr>
          <w:rFonts w:ascii="DejaVu Sans Mono" w:hAnsi="DejaVu Sans Mono"/>
          <w:color w:val="2B2621"/>
          <w:sz w:val="18"/>
        </w:rPr>
        <w:t>2100–2900     таблица «что можно включить в проект»</w:t>
      </w:r>
    </w:p>
    <w:p>
      <w:pPr>
        <w:spacing w:after="0"/>
        <w:ind w:left="227"/>
        <w:shd w:val="clear" w:fill="F2EEE7"/>
      </w:pPr>
      <w:r>
        <w:rPr>
          <w:rFonts w:ascii="DejaVu Sans Mono" w:hAnsi="DejaVu Sans Mono"/>
          <w:color w:val="2B2621"/>
          <w:sz w:val="18"/>
        </w:rPr>
        <w:t>2900–3900     материалы и палитра (таблица + фото образцов)</w:t>
      </w:r>
    </w:p>
    <w:p>
      <w:pPr>
        <w:spacing w:after="0"/>
        <w:ind w:left="227"/>
        <w:shd w:val="clear" w:fill="F2EEE7"/>
      </w:pPr>
      <w:r>
        <w:rPr>
          <w:rFonts w:ascii="DejaVu Sans Mono" w:hAnsi="DejaVu Sans Mono"/>
          <w:color w:val="2B2621"/>
          <w:sz w:val="18"/>
        </w:rPr>
        <w:t>3900–4700     шесть шагов (таймлайн)</w:t>
      </w:r>
    </w:p>
    <w:p>
      <w:pPr>
        <w:spacing w:after="0"/>
        <w:ind w:left="227"/>
        <w:shd w:val="clear" w:fill="F2EEE7"/>
      </w:pPr>
      <w:r>
        <w:rPr>
          <w:rFonts w:ascii="DejaVu Sans Mono" w:hAnsi="DejaVu Sans Mono"/>
          <w:color w:val="2B2621"/>
          <w:sz w:val="18"/>
        </w:rPr>
        <w:t>4700–5300     что нужно прислать (чек-лист)</w:t>
      </w:r>
    </w:p>
    <w:p>
      <w:pPr>
        <w:spacing w:after="0"/>
        <w:ind w:left="227"/>
        <w:shd w:val="clear" w:fill="F2EEE7"/>
      </w:pPr>
      <w:r>
        <w:rPr>
          <w:rFonts w:ascii="DejaVu Sans Mono" w:hAnsi="DejaVu Sans Mono"/>
          <w:color w:val="2B2621"/>
          <w:sz w:val="18"/>
        </w:rPr>
        <w:t>5300–5900     партнёрские условия — главный коммерческий блок</w:t>
      </w:r>
    </w:p>
    <w:p>
      <w:pPr>
        <w:spacing w:after="0"/>
        <w:ind w:left="227"/>
        <w:shd w:val="clear" w:fill="F2EEE7"/>
      </w:pPr>
      <w:r>
        <w:rPr>
          <w:rFonts w:ascii="DejaVu Sans Mono" w:hAnsi="DejaVu Sans Mono"/>
          <w:color w:val="2B2621"/>
          <w:sz w:val="18"/>
        </w:rPr>
        <w:t>5900–6300     три формата работы</w:t>
      </w:r>
    </w:p>
    <w:p>
      <w:pPr>
        <w:spacing w:after="0"/>
        <w:ind w:left="227"/>
        <w:shd w:val="clear" w:fill="F2EEE7"/>
      </w:pPr>
      <w:r>
        <w:rPr>
          <w:rFonts w:ascii="DejaVu Sans Mono" w:hAnsi="DejaVu Sans Mono"/>
          <w:color w:val="2B2621"/>
          <w:sz w:val="18"/>
        </w:rPr>
        <w:t>6300–7100     проекты (3 фото)</w:t>
      </w:r>
    </w:p>
    <w:p>
      <w:pPr>
        <w:spacing w:after="0"/>
        <w:ind w:left="227"/>
        <w:shd w:val="clear" w:fill="F2EEE7"/>
      </w:pPr>
      <w:r>
        <w:rPr>
          <w:rFonts w:ascii="DejaVu Sans Mono" w:hAnsi="DejaVu Sans Mono"/>
          <w:color w:val="2B2621"/>
          <w:sz w:val="18"/>
        </w:rPr>
        <w:t>7100–7600     другие направления (4 карточки)</w:t>
      </w:r>
    </w:p>
    <w:p>
      <w:pPr>
        <w:spacing w:after="0"/>
        <w:ind w:left="227"/>
        <w:shd w:val="clear" w:fill="F2EEE7"/>
      </w:pPr>
      <w:r>
        <w:rPr>
          <w:rFonts w:ascii="DejaVu Sans Mono" w:hAnsi="DejaVu Sans Mono"/>
          <w:color w:val="2B2621"/>
          <w:sz w:val="18"/>
        </w:rPr>
        <w:t>7600–7900     FAQ (аккордеон)</w:t>
      </w:r>
    </w:p>
    <w:p>
      <w:pPr>
        <w:spacing w:after="0"/>
        <w:ind w:left="227"/>
        <w:shd w:val="clear" w:fill="F2EEE7"/>
      </w:pPr>
      <w:r>
        <w:rPr>
          <w:rFonts w:ascii="DejaVu Sans Mono" w:hAnsi="DejaVu Sans Mono"/>
          <w:color w:val="2B2621"/>
          <w:sz w:val="18"/>
        </w:rPr>
        <w:t>7900–8300     форма заявки</w:t>
      </w:r>
    </w:p>
    <w:p>
      <w:pPr>
        <w:spacing w:after="0"/>
        <w:ind w:left="227"/>
        <w:shd w:val="clear" w:fill="F2EEE7"/>
      </w:pPr>
      <w:r>
        <w:rPr>
          <w:rFonts w:ascii="DejaVu Sans Mono" w:hAnsi="DejaVu Sans Mono"/>
          <w:color w:val="2B2621"/>
          <w:sz w:val="18"/>
        </w:rPr>
        <w:t>8300–8432     финальный экран, тёмный</w:t>
      </w:r>
    </w:p>
    <w:p>
      <w:pPr>
        <w:spacing w:after="40"/>
      </w:pPr>
    </w:p>
    <w:p>
      <w:pPr>
        <w:spacing w:before="120" w:after="120"/>
        <w:pBdr>
          <w:bottom w:val="single" w:sz="4" w:color="E4DBCD"/>
        </w:pBdr>
      </w:pPr>
    </w:p>
    <w:p>
      <w:pPr>
        <w:keepNext/>
        <w:spacing w:before="280" w:after="80"/>
      </w:pPr>
      <w:r>
        <w:rPr>
          <w:rFonts w:ascii="Manrope" w:hAnsi="Manrope"/>
          <w:b/>
          <w:color w:val="2F6F6B"/>
          <w:sz w:val="27"/>
        </w:rPr>
        <w:t>Три вещи, без которых страница не заработает</w:t>
      </w:r>
    </w:p>
    <w:p>
      <w:pPr>
        <w:spacing w:after="120"/>
      </w:pPr>
      <w:r>
        <w:rPr>
          <w:rFonts w:ascii="Manrope" w:hAnsi="Manrope"/>
          <w:b w:val="0"/>
          <w:color w:val="2B2621"/>
          <w:sz w:val="20"/>
        </w:rPr>
        <w:t>1. Цифра партнёрской скидки. Блок 7 сейчас с пометкой (уточнить). Дизайнер не позвонит, если не понимает свою маржу. Это единственная цифра, которая реально влияет на конверсию.</w:t>
      </w:r>
    </w:p>
    <w:p>
      <w:pPr>
        <w:spacing w:after="120"/>
      </w:pPr>
      <w:r>
        <w:rPr>
          <w:rFonts w:ascii="Manrope" w:hAnsi="Manrope"/>
          <w:b w:val="0"/>
          <w:color w:val="2B2621"/>
          <w:sz w:val="20"/>
        </w:rPr>
        <w:t>2. Свои фото вместо моих. Шесть кадров в пакете — сгенерированные визуализации: они показывают композицию, свет и что должно быть в кадре. Для сайта нужны ваши реальные изделия. Мои можно поставить временно, чтобы собрать страницу, но заменить до запуска рекламы.</w:t>
      </w:r>
    </w:p>
    <w:p>
      <w:pPr>
        <w:spacing w:after="120"/>
      </w:pPr>
      <w:r>
        <w:rPr>
          <w:rFonts w:ascii="Manrope" w:hAnsi="Manrope"/>
          <w:b w:val="0"/>
          <w:color w:val="2B2621"/>
          <w:sz w:val="20"/>
        </w:rPr>
        <w:t>3. Перелинковка. После публикации поставить ссылку «Дизайнерам интерьера» в футер и в B2B-блок на страницах /aboutus, /toorder, /contacts. Без входящих ссылок страница не соберёт трафик и не получит вес.</w:t>
      </w:r>
    </w:p>
    <w:p>
      <w:pPr>
        <w:spacing w:before="120" w:after="120"/>
        <w:pBdr>
          <w:bottom w:val="single" w:sz="4" w:color="E4DBCD"/>
        </w:pBdr>
      </w:pPr>
    </w:p>
    <w:p>
      <w:pPr>
        <w:keepNext/>
        <w:spacing w:before="280" w:after="80"/>
      </w:pPr>
      <w:r>
        <w:rPr>
          <w:rFonts w:ascii="Manrope" w:hAnsi="Manrope"/>
          <w:b/>
          <w:color w:val="2F6F6B"/>
          <w:sz w:val="27"/>
        </w:rPr>
        <w:t>Что делать с моими фото до замены</w:t>
      </w:r>
    </w:p>
    <w:p>
      <w:pPr>
        <w:spacing w:after="120"/>
      </w:pPr>
      <w:r>
        <w:rPr>
          <w:rFonts w:ascii="Manrope" w:hAnsi="Manrope"/>
          <w:b w:val="0"/>
          <w:color w:val="2B2621"/>
          <w:sz w:val="20"/>
        </w:rPr>
        <w:t>Можно использовать как есть — они не подписаны брендом и не выдают «сгенерировано». Но три вещи стоит держать в голове:</w:t>
      </w:r>
    </w:p>
    <w:p>
      <w:pPr>
        <w:pStyle w:val="ListBullet"/>
        <w:spacing w:after="40"/>
      </w:pPr>
      <w:r>
        <w:rPr>
          <w:rFonts w:ascii="Manrope" w:hAnsi="Manrope"/>
          <w:b w:val="0"/>
          <w:color w:val="2B2621"/>
          <w:sz w:val="20"/>
        </w:rPr>
        <w:t>Заменить в первую очередь обложку — это первое, что видит дизайнер.</w:t>
      </w:r>
    </w:p>
    <w:p>
      <w:pPr>
        <w:pStyle w:val="ListBullet"/>
        <w:spacing w:after="40"/>
      </w:pPr>
      <w:r>
        <w:rPr>
          <w:rFonts w:ascii="Manrope" w:hAnsi="Manrope"/>
          <w:b w:val="0"/>
          <w:color w:val="2B2621"/>
          <w:sz w:val="20"/>
        </w:rPr>
        <w:t>Кадр «размер» (foto-05) — самый ценный: он показывает рулетку и попадание в нишу. Если есть возможность снять свой такой же — снимите, это сильнее любого текста.</w:t>
      </w:r>
    </w:p>
    <w:p>
      <w:pPr>
        <w:pStyle w:val="ListBullet"/>
        <w:spacing w:after="40"/>
      </w:pPr>
      <w:r>
        <w:rPr>
          <w:rFonts w:ascii="Manrope" w:hAnsi="Manrope"/>
          <w:b w:val="0"/>
          <w:color w:val="2B2621"/>
          <w:sz w:val="20"/>
        </w:rPr>
        <w:t>Палитра (foto-03) — как только сделаете настоящую выкладку образцов, сфотографируйте сверху и замените.</w:t>
      </w:r>
    </w:p>
    <w:p>
      <w:pPr>
        <w:spacing w:before="120" w:after="120"/>
        <w:pBdr>
          <w:bottom w:val="single" w:sz="4" w:color="E4DBCD"/>
        </w:pBdr>
      </w:pPr>
    </w:p>
    <w:p>
      <w:pPr>
        <w:keepNext/>
        <w:spacing w:before="280" w:after="80"/>
      </w:pPr>
      <w:r>
        <w:rPr>
          <w:rFonts w:ascii="Manrope" w:hAnsi="Manrope"/>
          <w:b/>
          <w:color w:val="2F6F6B"/>
          <w:sz w:val="27"/>
        </w:rPr>
        <w:t>Если что-то не сходится</w:t>
      </w:r>
    </w:p>
    <w:p>
      <w:pPr>
        <w:pStyle w:val="ListBullet"/>
        <w:spacing w:after="40"/>
      </w:pPr>
      <w:r>
        <w:rPr>
          <w:rFonts w:ascii="Manrope" w:hAnsi="Manrope"/>
          <w:b w:val="0"/>
          <w:color w:val="2B2621"/>
          <w:sz w:val="20"/>
        </w:rPr>
        <w:t>На тарифе Personal нет T-cards — собирается блоками T-1040 / T-1060 (плитки) или T-text с таблицей. Рисунок остаётся тот же, меняется только элемент.</w:t>
      </w:r>
    </w:p>
    <w:p>
      <w:pPr>
        <w:pStyle w:val="ListBullet"/>
        <w:spacing w:after="40"/>
      </w:pPr>
      <w:r>
        <w:rPr>
          <w:rFonts w:ascii="Manrope" w:hAnsi="Manrope"/>
          <w:b w:val="0"/>
          <w:color w:val="2B2621"/>
          <w:sz w:val="20"/>
        </w:rPr>
        <w:t>Таблица уезжает на мобильном — в TEKST-dlya-Tilda.md таблицы даны в markdown; если Tilda не тянет, разбейте на карточки по 3 строки или сделайте скриншот таблицы.</w:t>
      </w:r>
    </w:p>
    <w:p>
      <w:pPr>
        <w:pStyle w:val="ListBullet"/>
        <w:spacing w:after="40"/>
      </w:pPr>
      <w:r>
        <w:rPr>
          <w:rFonts w:ascii="Manrope" w:hAnsi="Manrope"/>
          <w:b w:val="0"/>
          <w:color w:val="2B2621"/>
          <w:sz w:val="20"/>
        </w:rPr>
        <w:t>Нужен другой порядок блоков — скажите, пересоберу макет под новую последовательность, тексты при этом не придётся переписывать.</w:t>
      </w:r>
    </w:p>
    <w:sectPr w:rsidR="00FC693F" w:rsidRPr="0006063C" w:rsidSect="00034616">
      <w:pgSz w:w="12240" w:h="15840"/>
      <w:pgMar w:top="1134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12" w:lineRule="auto"/>
    </w:pPr>
    <w:rPr>
      <w:rFonts w:ascii="Manrope" w:hAnsi="Manrope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