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90" w:rsidRPr="00334CC2" w:rsidRDefault="00D33B90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</w:p>
    <w:p w:rsidR="00D33B90" w:rsidRPr="00334CC2" w:rsidRDefault="00D33B90" w:rsidP="00D33B90">
      <w:pPr>
        <w:widowControl w:val="0"/>
        <w:jc w:val="center"/>
        <w:rPr>
          <w:rFonts w:asciiTheme="majorHAnsi" w:hAnsiTheme="majorHAnsi" w:cs="Arial"/>
          <w:b/>
          <w:bCs/>
          <w:smallCaps/>
          <w:sz w:val="36"/>
          <w:szCs w:val="36"/>
        </w:rPr>
      </w:pPr>
      <w:r w:rsidRPr="00334CC2">
        <w:rPr>
          <w:rFonts w:asciiTheme="majorHAnsi" w:hAnsiTheme="majorHAnsi" w:cs="Arial"/>
          <w:b/>
          <w:bCs/>
          <w:smallCaps/>
          <w:sz w:val="36"/>
          <w:szCs w:val="36"/>
        </w:rPr>
        <w:t xml:space="preserve">Emory Orthopaedics </w:t>
      </w:r>
    </w:p>
    <w:p w:rsidR="00D33B90" w:rsidRPr="00334CC2" w:rsidRDefault="00D33B90" w:rsidP="00D33B90">
      <w:pPr>
        <w:widowControl w:val="0"/>
        <w:jc w:val="center"/>
        <w:rPr>
          <w:rFonts w:asciiTheme="majorHAnsi" w:hAnsiTheme="majorHAnsi"/>
          <w:sz w:val="36"/>
          <w:szCs w:val="36"/>
        </w:rPr>
      </w:pPr>
      <w:r w:rsidRPr="00334CC2">
        <w:rPr>
          <w:rFonts w:asciiTheme="majorHAnsi" w:hAnsiTheme="majorHAnsi" w:cs="Arial"/>
          <w:b/>
          <w:bCs/>
          <w:smallCaps/>
          <w:color w:val="415A88"/>
          <w:sz w:val="36"/>
          <w:szCs w:val="36"/>
        </w:rPr>
        <w:t>Clinical Research Division</w:t>
      </w:r>
    </w:p>
    <w:p w:rsidR="00D33B90" w:rsidRPr="00334CC2" w:rsidRDefault="00D33B90" w:rsidP="00D33B90">
      <w:pPr>
        <w:pStyle w:val="Default"/>
        <w:jc w:val="center"/>
        <w:rPr>
          <w:rFonts w:asciiTheme="majorHAnsi" w:hAnsiTheme="majorHAnsi" w:cstheme="minorHAnsi"/>
          <w:b/>
          <w:bCs/>
          <w:sz w:val="22"/>
          <w:szCs w:val="22"/>
        </w:rPr>
      </w:pPr>
    </w:p>
    <w:p w:rsidR="00D33B90" w:rsidRPr="00334CC2" w:rsidRDefault="00D33B90" w:rsidP="00D33B90">
      <w:pPr>
        <w:pStyle w:val="Default"/>
        <w:jc w:val="center"/>
        <w:rPr>
          <w:rFonts w:asciiTheme="majorHAnsi" w:hAnsiTheme="majorHAnsi" w:cstheme="minorHAnsi"/>
          <w:b/>
          <w:bCs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>Standard Operating Procedure for Statistical Support for new studies or data analysis for completed project</w:t>
      </w:r>
      <w:r w:rsidR="00DC186B" w:rsidRPr="00334CC2">
        <w:rPr>
          <w:rFonts w:asciiTheme="majorHAnsi" w:hAnsiTheme="majorHAnsi" w:cstheme="minorHAnsi"/>
          <w:b/>
          <w:bCs/>
          <w:sz w:val="22"/>
          <w:szCs w:val="22"/>
        </w:rPr>
        <w:t>s.</w:t>
      </w:r>
    </w:p>
    <w:p w:rsidR="00D33B90" w:rsidRPr="00334CC2" w:rsidRDefault="00D33B90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33B90" w:rsidRPr="00334CC2" w:rsidRDefault="00D33B90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 xml:space="preserve">Purpose: </w:t>
      </w:r>
      <w:r w:rsidRPr="00334CC2">
        <w:rPr>
          <w:rFonts w:asciiTheme="majorHAnsi" w:hAnsiTheme="majorHAnsi" w:cstheme="minorHAnsi"/>
          <w:sz w:val="22"/>
          <w:szCs w:val="22"/>
        </w:rPr>
        <w:t>To ensure that the</w:t>
      </w:r>
      <w:r w:rsidR="008D0C7D" w:rsidRPr="00334CC2">
        <w:rPr>
          <w:rFonts w:asciiTheme="majorHAnsi" w:hAnsiTheme="majorHAnsi" w:cstheme="minorHAnsi"/>
          <w:sz w:val="22"/>
          <w:szCs w:val="22"/>
        </w:rPr>
        <w:t xml:space="preserve"> statistical support we receive</w:t>
      </w:r>
      <w:r w:rsidRPr="00334CC2">
        <w:rPr>
          <w:rFonts w:asciiTheme="majorHAnsi" w:hAnsiTheme="majorHAnsi" w:cstheme="minorHAnsi"/>
          <w:sz w:val="22"/>
          <w:szCs w:val="22"/>
        </w:rPr>
        <w:t xml:space="preserve"> from BIOS consulting center at Rollins School of Public health is managed in an effective manner for the advancement of our research projects. </w:t>
      </w:r>
    </w:p>
    <w:p w:rsidR="00D33B90" w:rsidRPr="00334CC2" w:rsidRDefault="00D33B90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</w:p>
    <w:p w:rsidR="00D33B90" w:rsidRPr="00334CC2" w:rsidRDefault="00D33B90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 xml:space="preserve">Scope: </w:t>
      </w:r>
      <w:r w:rsidRPr="00334CC2">
        <w:rPr>
          <w:rFonts w:asciiTheme="majorHAnsi" w:hAnsiTheme="majorHAnsi" w:cstheme="minorHAnsi"/>
          <w:sz w:val="22"/>
          <w:szCs w:val="22"/>
        </w:rPr>
        <w:t xml:space="preserve">This policy and procedure will apply to all research studies </w:t>
      </w:r>
      <w:r w:rsidR="008D0C7D" w:rsidRPr="00334CC2">
        <w:rPr>
          <w:rFonts w:asciiTheme="majorHAnsi" w:hAnsiTheme="majorHAnsi" w:cstheme="minorHAnsi"/>
          <w:sz w:val="22"/>
          <w:szCs w:val="22"/>
        </w:rPr>
        <w:t>requesting</w:t>
      </w:r>
      <w:r w:rsidRPr="00334CC2">
        <w:rPr>
          <w:rFonts w:asciiTheme="majorHAnsi" w:hAnsiTheme="majorHAnsi" w:cstheme="minorHAnsi"/>
          <w:sz w:val="22"/>
          <w:szCs w:val="22"/>
        </w:rPr>
        <w:t xml:space="preserve"> statistical analysis at the Emory Department of Orthopaedics</w:t>
      </w:r>
      <w:r w:rsidR="008D0C7D" w:rsidRPr="00334CC2">
        <w:rPr>
          <w:rFonts w:asciiTheme="majorHAnsi" w:hAnsiTheme="majorHAnsi" w:cstheme="minorHAnsi"/>
          <w:sz w:val="22"/>
          <w:szCs w:val="22"/>
        </w:rPr>
        <w:t>.</w:t>
      </w:r>
    </w:p>
    <w:p w:rsidR="00D33B90" w:rsidRPr="00334CC2" w:rsidRDefault="00D33B90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</w:p>
    <w:p w:rsidR="00D33B90" w:rsidRPr="00334CC2" w:rsidRDefault="00D33B90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 xml:space="preserve">Procedure: </w:t>
      </w:r>
    </w:p>
    <w:p w:rsidR="00D33B90" w:rsidRPr="00334CC2" w:rsidRDefault="00D33B90" w:rsidP="00D33B90">
      <w:pPr>
        <w:pStyle w:val="Default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sz w:val="22"/>
          <w:szCs w:val="22"/>
        </w:rPr>
        <w:t xml:space="preserve">During the </w:t>
      </w:r>
      <w:r w:rsidR="00DC186B" w:rsidRPr="00334CC2">
        <w:rPr>
          <w:rFonts w:asciiTheme="majorHAnsi" w:hAnsiTheme="majorHAnsi" w:cstheme="minorHAnsi"/>
          <w:sz w:val="22"/>
          <w:szCs w:val="22"/>
        </w:rPr>
        <w:t>development</w:t>
      </w:r>
      <w:r w:rsidRPr="00334CC2">
        <w:rPr>
          <w:rFonts w:asciiTheme="majorHAnsi" w:hAnsiTheme="majorHAnsi" w:cstheme="minorHAnsi"/>
          <w:sz w:val="22"/>
          <w:szCs w:val="22"/>
        </w:rPr>
        <w:t xml:space="preserve"> state of any retrospective and prospective study, the research coordinator in conjunction with the study principal investigator and study </w:t>
      </w:r>
      <w:r w:rsidR="001F4B4D" w:rsidRPr="00334CC2">
        <w:rPr>
          <w:rFonts w:asciiTheme="majorHAnsi" w:hAnsiTheme="majorHAnsi" w:cstheme="minorHAnsi"/>
          <w:sz w:val="22"/>
          <w:szCs w:val="22"/>
        </w:rPr>
        <w:t xml:space="preserve">staff will meet </w:t>
      </w:r>
      <w:r w:rsidR="002B4109" w:rsidRPr="00334CC2">
        <w:rPr>
          <w:rFonts w:asciiTheme="majorHAnsi" w:hAnsiTheme="majorHAnsi" w:cstheme="minorHAnsi"/>
          <w:sz w:val="22"/>
          <w:szCs w:val="22"/>
        </w:rPr>
        <w:t xml:space="preserve">to determine if statistical support </w:t>
      </w:r>
      <w:r w:rsidR="00DC186B" w:rsidRPr="00334CC2">
        <w:rPr>
          <w:rFonts w:asciiTheme="majorHAnsi" w:hAnsiTheme="majorHAnsi" w:cstheme="minorHAnsi"/>
          <w:sz w:val="22"/>
          <w:szCs w:val="22"/>
        </w:rPr>
        <w:t>is needed</w:t>
      </w:r>
      <w:r w:rsidR="002B4109" w:rsidRPr="00334CC2">
        <w:rPr>
          <w:rFonts w:asciiTheme="majorHAnsi" w:hAnsiTheme="majorHAnsi" w:cstheme="minorHAnsi"/>
          <w:sz w:val="22"/>
          <w:szCs w:val="22"/>
        </w:rPr>
        <w:t xml:space="preserve">. </w:t>
      </w:r>
      <w:r w:rsidR="00DC186B" w:rsidRPr="00334CC2">
        <w:rPr>
          <w:rFonts w:asciiTheme="majorHAnsi" w:hAnsiTheme="majorHAnsi" w:cstheme="minorHAnsi"/>
          <w:sz w:val="22"/>
          <w:szCs w:val="22"/>
        </w:rPr>
        <w:t>It is mandatory to obtain statistical analysis for all prospective studies before submission to the Emory IRB.</w:t>
      </w:r>
      <w:r w:rsidR="002B4109" w:rsidRPr="00334CC2">
        <w:rPr>
          <w:rFonts w:asciiTheme="majorHAnsi" w:hAnsiTheme="majorHAnsi" w:cstheme="minorHAnsi"/>
          <w:sz w:val="22"/>
          <w:szCs w:val="22"/>
        </w:rPr>
        <w:t xml:space="preserve"> </w:t>
      </w:r>
      <w:r w:rsidR="00DC186B" w:rsidRPr="00334CC2">
        <w:rPr>
          <w:rFonts w:asciiTheme="majorHAnsi" w:hAnsiTheme="majorHAnsi" w:cstheme="minorHAnsi"/>
          <w:sz w:val="22"/>
          <w:szCs w:val="22"/>
        </w:rPr>
        <w:t xml:space="preserve"> It is not mandatory but highly encouraged to obtain statistical support for retrospective studies before submission to Emory IRB.</w:t>
      </w:r>
    </w:p>
    <w:p w:rsidR="002B4109" w:rsidRPr="00334CC2" w:rsidRDefault="002B4109" w:rsidP="00D33B90">
      <w:pPr>
        <w:pStyle w:val="Default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sz w:val="22"/>
          <w:szCs w:val="22"/>
        </w:rPr>
        <w:t>The study staff should submit the study protocol and a brief explanation of the</w:t>
      </w:r>
      <w:r w:rsidR="008D0C7D" w:rsidRPr="00334CC2">
        <w:rPr>
          <w:rFonts w:asciiTheme="majorHAnsi" w:hAnsiTheme="majorHAnsi" w:cstheme="minorHAnsi"/>
          <w:sz w:val="22"/>
          <w:szCs w:val="22"/>
        </w:rPr>
        <w:t xml:space="preserve"> study objectives/goals to the designated BIOS personnel</w:t>
      </w:r>
      <w:r w:rsidR="001F4B4D" w:rsidRPr="00334CC2">
        <w:rPr>
          <w:rFonts w:asciiTheme="majorHAnsi" w:hAnsiTheme="majorHAnsi" w:cstheme="minorHAnsi"/>
          <w:sz w:val="22"/>
          <w:szCs w:val="22"/>
        </w:rPr>
        <w:t xml:space="preserve"> via email</w:t>
      </w:r>
      <w:r w:rsidR="008D0C7D" w:rsidRPr="00334CC2">
        <w:rPr>
          <w:rFonts w:asciiTheme="majorHAnsi" w:hAnsiTheme="majorHAnsi" w:cstheme="minorHAnsi"/>
          <w:sz w:val="22"/>
          <w:szCs w:val="22"/>
        </w:rPr>
        <w:t>.</w:t>
      </w:r>
    </w:p>
    <w:p w:rsidR="002B4109" w:rsidRPr="00334CC2" w:rsidRDefault="008D0C7D" w:rsidP="00D33B90">
      <w:pPr>
        <w:pStyle w:val="Default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sz w:val="22"/>
          <w:szCs w:val="22"/>
        </w:rPr>
        <w:t xml:space="preserve">After revision of the information provided by the study staff, the BIOS personnel will arrange a meeting </w:t>
      </w:r>
      <w:r w:rsidR="00334CC2" w:rsidRPr="00334CC2">
        <w:rPr>
          <w:rFonts w:asciiTheme="majorHAnsi" w:hAnsiTheme="majorHAnsi" w:cstheme="minorHAnsi"/>
          <w:sz w:val="22"/>
          <w:szCs w:val="22"/>
        </w:rPr>
        <w:t xml:space="preserve">(via phone or in person) </w:t>
      </w:r>
      <w:r w:rsidRPr="00334CC2">
        <w:rPr>
          <w:rFonts w:asciiTheme="majorHAnsi" w:hAnsiTheme="majorHAnsi" w:cstheme="minorHAnsi"/>
          <w:sz w:val="22"/>
          <w:szCs w:val="22"/>
        </w:rPr>
        <w:t>with the study team to discuss changes to the protocol</w:t>
      </w:r>
      <w:r w:rsidR="001F4B4D" w:rsidRPr="00334CC2">
        <w:rPr>
          <w:rFonts w:asciiTheme="majorHAnsi" w:hAnsiTheme="majorHAnsi" w:cstheme="minorHAnsi"/>
          <w:sz w:val="22"/>
          <w:szCs w:val="22"/>
        </w:rPr>
        <w:t xml:space="preserve">, data collection methods, </w:t>
      </w:r>
      <w:r w:rsidRPr="00334CC2">
        <w:rPr>
          <w:rFonts w:asciiTheme="majorHAnsi" w:hAnsiTheme="majorHAnsi" w:cstheme="minorHAnsi"/>
          <w:sz w:val="22"/>
          <w:szCs w:val="22"/>
        </w:rPr>
        <w:t>or any other relevant detail pertinent to the study conduction.</w:t>
      </w:r>
      <w:r w:rsidR="00110C2F" w:rsidRPr="00334CC2">
        <w:rPr>
          <w:rFonts w:asciiTheme="majorHAnsi" w:hAnsiTheme="majorHAnsi" w:cstheme="minorHAnsi"/>
          <w:sz w:val="22"/>
          <w:szCs w:val="22"/>
        </w:rPr>
        <w:t xml:space="preserve">  For prospective studies with baseline and regularly scheduled longitudinal study visits a </w:t>
      </w:r>
      <w:r w:rsidR="00096EBE" w:rsidRPr="00334CC2">
        <w:rPr>
          <w:rFonts w:asciiTheme="majorHAnsi" w:hAnsiTheme="majorHAnsi" w:cstheme="minorHAnsi"/>
          <w:sz w:val="22"/>
          <w:szCs w:val="22"/>
        </w:rPr>
        <w:t>formal data</w:t>
      </w:r>
      <w:r w:rsidR="00110C2F" w:rsidRPr="00334CC2">
        <w:rPr>
          <w:rFonts w:asciiTheme="majorHAnsi" w:hAnsiTheme="majorHAnsi" w:cstheme="minorHAnsi"/>
          <w:sz w:val="22"/>
          <w:szCs w:val="22"/>
        </w:rPr>
        <w:t xml:space="preserve"> management plan is advised.  In selected cases a web-based data management system may be useful but will require additional funding.  For simple data collection needs Excel is appropriate for data management (see below).</w:t>
      </w:r>
    </w:p>
    <w:p w:rsidR="008D0C7D" w:rsidRPr="00334CC2" w:rsidRDefault="001F4B4D" w:rsidP="00603AA6">
      <w:pPr>
        <w:pStyle w:val="Default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sz w:val="22"/>
          <w:szCs w:val="22"/>
        </w:rPr>
        <w:t>After the study</w:t>
      </w:r>
      <w:r w:rsidR="00DC186B" w:rsidRPr="00334CC2">
        <w:rPr>
          <w:rFonts w:asciiTheme="majorHAnsi" w:hAnsiTheme="majorHAnsi" w:cstheme="minorHAnsi"/>
          <w:sz w:val="22"/>
          <w:szCs w:val="22"/>
        </w:rPr>
        <w:t>’s</w:t>
      </w:r>
      <w:r w:rsidRPr="00334CC2">
        <w:rPr>
          <w:rFonts w:asciiTheme="majorHAnsi" w:hAnsiTheme="majorHAnsi" w:cstheme="minorHAnsi"/>
          <w:sz w:val="22"/>
          <w:szCs w:val="22"/>
        </w:rPr>
        <w:t xml:space="preserve"> personnel have conclude</w:t>
      </w:r>
      <w:r w:rsidR="00DC186B" w:rsidRPr="00334CC2">
        <w:rPr>
          <w:rFonts w:asciiTheme="majorHAnsi" w:hAnsiTheme="majorHAnsi" w:cstheme="minorHAnsi"/>
          <w:sz w:val="22"/>
          <w:szCs w:val="22"/>
        </w:rPr>
        <w:t>d</w:t>
      </w:r>
      <w:r w:rsidRPr="00334CC2">
        <w:rPr>
          <w:rFonts w:asciiTheme="majorHAnsi" w:hAnsiTheme="majorHAnsi" w:cstheme="minorHAnsi"/>
          <w:sz w:val="22"/>
          <w:szCs w:val="22"/>
        </w:rPr>
        <w:t xml:space="preserve"> the data collection phase, the information will be de-identified according to current </w:t>
      </w:r>
      <w:r w:rsidR="00DC186B" w:rsidRPr="00334CC2">
        <w:rPr>
          <w:rFonts w:asciiTheme="majorHAnsi" w:hAnsiTheme="majorHAnsi" w:cstheme="minorHAnsi"/>
          <w:sz w:val="22"/>
          <w:szCs w:val="22"/>
        </w:rPr>
        <w:t xml:space="preserve">HIPAA law.  The 18-identifiers will be removed and the information will be shared </w:t>
      </w:r>
      <w:r w:rsidR="00334CC2" w:rsidRPr="00334CC2">
        <w:rPr>
          <w:rFonts w:asciiTheme="majorHAnsi" w:hAnsiTheme="majorHAnsi" w:cstheme="minorHAnsi"/>
          <w:sz w:val="22"/>
          <w:szCs w:val="22"/>
        </w:rPr>
        <w:t>with</w:t>
      </w:r>
      <w:r w:rsidR="00DC186B" w:rsidRPr="00334CC2">
        <w:rPr>
          <w:rFonts w:asciiTheme="majorHAnsi" w:hAnsiTheme="majorHAnsi" w:cstheme="minorHAnsi"/>
          <w:sz w:val="22"/>
          <w:szCs w:val="22"/>
        </w:rPr>
        <w:t xml:space="preserve"> the BIOS statistician.  In addition, the study staff will provide the study’s protocol and study objectives/goals</w:t>
      </w:r>
      <w:r w:rsidR="00B3518A" w:rsidRPr="00334CC2">
        <w:rPr>
          <w:rFonts w:asciiTheme="majorHAnsi" w:hAnsiTheme="majorHAnsi" w:cstheme="minorHAnsi"/>
          <w:sz w:val="22"/>
          <w:szCs w:val="22"/>
        </w:rPr>
        <w:t xml:space="preserve"> and will submit the data in </w:t>
      </w:r>
      <w:r w:rsidR="00110C2F" w:rsidRPr="00334CC2">
        <w:rPr>
          <w:rFonts w:asciiTheme="majorHAnsi" w:hAnsiTheme="majorHAnsi" w:cstheme="minorHAnsi"/>
          <w:sz w:val="22"/>
          <w:szCs w:val="22"/>
        </w:rPr>
        <w:t>E</w:t>
      </w:r>
      <w:r w:rsidR="00B3518A" w:rsidRPr="00334CC2">
        <w:rPr>
          <w:rFonts w:asciiTheme="majorHAnsi" w:hAnsiTheme="majorHAnsi" w:cstheme="minorHAnsi"/>
          <w:sz w:val="22"/>
          <w:szCs w:val="22"/>
        </w:rPr>
        <w:t xml:space="preserve">xcel in a format described in the guideline “How to </w:t>
      </w:r>
      <w:r w:rsidR="00096EBE" w:rsidRPr="00334CC2">
        <w:rPr>
          <w:rFonts w:asciiTheme="majorHAnsi" w:hAnsiTheme="majorHAnsi" w:cstheme="minorHAnsi"/>
          <w:sz w:val="22"/>
          <w:szCs w:val="22"/>
        </w:rPr>
        <w:t xml:space="preserve">use </w:t>
      </w:r>
      <w:r w:rsidR="00B3518A" w:rsidRPr="00334CC2">
        <w:rPr>
          <w:rFonts w:asciiTheme="majorHAnsi" w:hAnsiTheme="majorHAnsi" w:cstheme="minorHAnsi"/>
          <w:sz w:val="22"/>
          <w:szCs w:val="22"/>
        </w:rPr>
        <w:t>Excel for data entry” provided by BIOS</w:t>
      </w:r>
    </w:p>
    <w:p w:rsidR="00DC186B" w:rsidRPr="00334CC2" w:rsidRDefault="00DC186B" w:rsidP="00D33B90">
      <w:pPr>
        <w:pStyle w:val="Default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sz w:val="22"/>
          <w:szCs w:val="22"/>
        </w:rPr>
        <w:t xml:space="preserve">If the statistician does not have any questions, the </w:t>
      </w:r>
      <w:r w:rsidR="00B3518A" w:rsidRPr="00334CC2">
        <w:rPr>
          <w:rFonts w:asciiTheme="majorHAnsi" w:hAnsiTheme="majorHAnsi" w:cstheme="minorHAnsi"/>
          <w:sz w:val="22"/>
          <w:szCs w:val="22"/>
        </w:rPr>
        <w:t xml:space="preserve">initial </w:t>
      </w:r>
      <w:r w:rsidRPr="00334CC2">
        <w:rPr>
          <w:rFonts w:asciiTheme="majorHAnsi" w:hAnsiTheme="majorHAnsi" w:cstheme="minorHAnsi"/>
          <w:sz w:val="22"/>
          <w:szCs w:val="22"/>
        </w:rPr>
        <w:t>results will be provided in 14 days.  If the statistician asks for another meeting, the data will be ready 14 days after this meeting.</w:t>
      </w:r>
    </w:p>
    <w:p w:rsidR="00DC186B" w:rsidRPr="00334CC2" w:rsidRDefault="00DC186B" w:rsidP="00D33B90">
      <w:pPr>
        <w:pStyle w:val="Default"/>
        <w:numPr>
          <w:ilvl w:val="0"/>
          <w:numId w:val="2"/>
        </w:numPr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sz w:val="22"/>
          <w:szCs w:val="22"/>
        </w:rPr>
        <w:t>For studies that did not have a pre-submission meeting (only retrospective studies), the results will be ready in 30 days after all questions have been answered by the study staff before the data analysis.</w:t>
      </w:r>
    </w:p>
    <w:p w:rsidR="00C37C8B" w:rsidRPr="00334CC2" w:rsidRDefault="00C37C8B" w:rsidP="00D33B90">
      <w:pPr>
        <w:pStyle w:val="Default"/>
        <w:numPr>
          <w:ilvl w:val="0"/>
          <w:numId w:val="2"/>
        </w:numPr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334CC2">
        <w:rPr>
          <w:rFonts w:asciiTheme="majorHAnsi" w:hAnsiTheme="majorHAnsi"/>
          <w:color w:val="000000" w:themeColor="text1"/>
          <w:sz w:val="22"/>
          <w:szCs w:val="22"/>
        </w:rPr>
        <w:t>After the statistical analyses are completed and the manuscript has been drafted the biostatistician will review the manuscript to be sure the statistical analyses support the study conclusion.</w:t>
      </w:r>
    </w:p>
    <w:p w:rsidR="00DC186B" w:rsidRPr="00334CC2" w:rsidRDefault="00DC186B" w:rsidP="00D33B90">
      <w:pPr>
        <w:pStyle w:val="Default"/>
        <w:ind w:left="720" w:firstLine="720"/>
        <w:rPr>
          <w:rFonts w:asciiTheme="majorHAnsi" w:hAnsiTheme="majorHAnsi" w:cstheme="minorHAnsi"/>
          <w:sz w:val="22"/>
          <w:szCs w:val="22"/>
        </w:rPr>
      </w:pPr>
    </w:p>
    <w:p w:rsidR="00DC186B" w:rsidRPr="00334CC2" w:rsidRDefault="00DC186B" w:rsidP="00D33B90">
      <w:pPr>
        <w:pStyle w:val="Default"/>
        <w:ind w:left="720" w:firstLine="720"/>
        <w:rPr>
          <w:rFonts w:asciiTheme="majorHAnsi" w:hAnsiTheme="majorHAnsi" w:cstheme="minorHAnsi"/>
          <w:sz w:val="22"/>
          <w:szCs w:val="22"/>
        </w:rPr>
      </w:pPr>
    </w:p>
    <w:p w:rsidR="00D33B90" w:rsidRPr="00334CC2" w:rsidRDefault="00D33B90" w:rsidP="00D33B90">
      <w:pPr>
        <w:pStyle w:val="Default"/>
        <w:ind w:left="720" w:firstLine="720"/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sz w:val="22"/>
          <w:szCs w:val="22"/>
        </w:rPr>
        <w:t xml:space="preserve"> </w:t>
      </w:r>
    </w:p>
    <w:p w:rsidR="000310C1" w:rsidRDefault="000310C1">
      <w:pPr>
        <w:spacing w:after="200" w:line="276" w:lineRule="auto"/>
        <w:rPr>
          <w:rFonts w:asciiTheme="majorHAnsi" w:hAnsiTheme="majorHAnsi" w:cstheme="minorHAnsi"/>
          <w:b/>
          <w:bCs/>
          <w:sz w:val="22"/>
          <w:szCs w:val="22"/>
        </w:rPr>
      </w:pPr>
    </w:p>
    <w:p w:rsidR="000310C1" w:rsidRDefault="000310C1">
      <w:pPr>
        <w:spacing w:after="200" w:line="276" w:lineRule="auto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33B90">
      <w:pPr>
        <w:spacing w:after="200" w:line="276" w:lineRule="auto"/>
        <w:rPr>
          <w:rFonts w:asciiTheme="majorHAnsi" w:eastAsiaTheme="minorHAnsi" w:hAnsiTheme="majorHAnsi" w:cstheme="minorHAnsi"/>
          <w:b/>
          <w:bCs/>
          <w:color w:val="000000"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 xml:space="preserve">Attachments: </w:t>
      </w:r>
      <w:r w:rsidR="008D0C7D" w:rsidRPr="00334CC2">
        <w:rPr>
          <w:rFonts w:asciiTheme="majorHAnsi" w:hAnsiTheme="majorHAnsi" w:cstheme="minorHAnsi"/>
          <w:sz w:val="22"/>
          <w:szCs w:val="22"/>
        </w:rPr>
        <w:t>BIOS consulting service form</w:t>
      </w:r>
      <w:r w:rsidR="00B3518A" w:rsidRPr="00334CC2">
        <w:rPr>
          <w:rFonts w:asciiTheme="majorHAnsi" w:hAnsiTheme="majorHAnsi" w:cstheme="minorHAnsi"/>
          <w:sz w:val="22"/>
          <w:szCs w:val="22"/>
        </w:rPr>
        <w:t>, How to use Excel for data entry form.</w:t>
      </w: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33B90" w:rsidRPr="00334CC2" w:rsidRDefault="00D33B90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 xml:space="preserve">References: </w:t>
      </w:r>
      <w:r w:rsidR="001F4B4D" w:rsidRPr="00334CC2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1F4B4D" w:rsidRPr="00334CC2">
        <w:rPr>
          <w:rFonts w:asciiTheme="majorHAnsi" w:hAnsiTheme="majorHAnsi"/>
          <w:sz w:val="22"/>
          <w:szCs w:val="22"/>
        </w:rPr>
        <w:t xml:space="preserve">Health Insurance Portability and Accountability Act of 1996 at </w:t>
      </w:r>
      <w:hyperlink r:id="rId8" w:history="1">
        <w:r w:rsidR="001F4B4D" w:rsidRPr="00334CC2">
          <w:rPr>
            <w:rStyle w:val="Hyperlink"/>
            <w:rFonts w:asciiTheme="majorHAnsi" w:hAnsiTheme="majorHAnsi"/>
            <w:sz w:val="22"/>
            <w:szCs w:val="22"/>
          </w:rPr>
          <w:t>http://www.cms.gov/HIPAAGenInfo/Downloads/HIPAALaw.pdf</w:t>
        </w:r>
      </w:hyperlink>
      <w:r w:rsidR="001F4B4D" w:rsidRPr="00334CC2">
        <w:rPr>
          <w:rFonts w:asciiTheme="majorHAnsi" w:hAnsiTheme="majorHAnsi"/>
        </w:rPr>
        <w:t xml:space="preserve"> </w:t>
      </w:r>
    </w:p>
    <w:p w:rsidR="008D0C7D" w:rsidRPr="00334CC2" w:rsidRDefault="008D0C7D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2B4109" w:rsidRPr="00334CC2" w:rsidRDefault="00D33B90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 xml:space="preserve">Implementation / Revision Dates: </w:t>
      </w:r>
      <w:r w:rsidR="002B4109" w:rsidRPr="00334CC2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8D0C7D" w:rsidRPr="00334CC2">
        <w:rPr>
          <w:rFonts w:asciiTheme="majorHAnsi" w:hAnsiTheme="majorHAnsi" w:cstheme="minorHAnsi"/>
          <w:sz w:val="22"/>
          <w:szCs w:val="22"/>
        </w:rPr>
        <w:t>13MAY2010</w:t>
      </w: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33B90" w:rsidRPr="00334CC2" w:rsidRDefault="00D33B90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>Last Review Date:</w:t>
      </w:r>
      <w:r w:rsidR="002B4109" w:rsidRPr="00334CC2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2B4109" w:rsidRPr="00334CC2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2B4109" w:rsidRPr="00334CC2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B3518A" w:rsidRPr="00334CC2">
        <w:rPr>
          <w:rFonts w:asciiTheme="majorHAnsi" w:hAnsiTheme="majorHAnsi" w:cstheme="minorHAnsi"/>
          <w:sz w:val="22"/>
          <w:szCs w:val="22"/>
        </w:rPr>
        <w:t>7/2</w:t>
      </w:r>
      <w:r w:rsidR="00334CC2">
        <w:rPr>
          <w:rFonts w:asciiTheme="majorHAnsi" w:hAnsiTheme="majorHAnsi" w:cstheme="minorHAnsi"/>
          <w:sz w:val="22"/>
          <w:szCs w:val="22"/>
        </w:rPr>
        <w:t>9</w:t>
      </w:r>
      <w:r w:rsidR="00B3518A" w:rsidRPr="00334CC2">
        <w:rPr>
          <w:rFonts w:asciiTheme="majorHAnsi" w:hAnsiTheme="majorHAnsi" w:cstheme="minorHAnsi"/>
          <w:sz w:val="22"/>
          <w:szCs w:val="22"/>
        </w:rPr>
        <w:t>/2010</w:t>
      </w: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33B90" w:rsidRPr="00334CC2" w:rsidRDefault="00D33B90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 xml:space="preserve">Approval Signatures: </w:t>
      </w:r>
    </w:p>
    <w:p w:rsidR="008D0C7D" w:rsidRPr="00334CC2" w:rsidRDefault="008D0C7D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8D0C7D" w:rsidRPr="00334CC2" w:rsidRDefault="008D0C7D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sz w:val="22"/>
          <w:szCs w:val="22"/>
        </w:rPr>
        <w:t>_____________________________________</w:t>
      </w:r>
      <w:r w:rsidRPr="00334CC2">
        <w:rPr>
          <w:rFonts w:asciiTheme="majorHAnsi" w:hAnsiTheme="majorHAnsi" w:cstheme="minorHAnsi"/>
          <w:sz w:val="22"/>
          <w:szCs w:val="22"/>
        </w:rPr>
        <w:tab/>
      </w:r>
      <w:r w:rsidRPr="00334CC2">
        <w:rPr>
          <w:rFonts w:asciiTheme="majorHAnsi" w:hAnsiTheme="majorHAnsi" w:cstheme="minorHAnsi"/>
          <w:sz w:val="22"/>
          <w:szCs w:val="22"/>
        </w:rPr>
        <w:tab/>
      </w:r>
      <w:r w:rsidRPr="00334CC2">
        <w:rPr>
          <w:rFonts w:asciiTheme="majorHAnsi" w:hAnsiTheme="majorHAnsi" w:cstheme="minorHAnsi"/>
          <w:sz w:val="22"/>
          <w:szCs w:val="22"/>
        </w:rPr>
        <w:tab/>
        <w:t>______________________________________________</w:t>
      </w:r>
    </w:p>
    <w:p w:rsidR="00D33B90" w:rsidRPr="00334CC2" w:rsidRDefault="008D0C7D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sz w:val="22"/>
          <w:szCs w:val="22"/>
        </w:rPr>
        <w:t xml:space="preserve">           Department Chairperson</w:t>
      </w:r>
      <w:r w:rsidR="00D33B90" w:rsidRPr="00334CC2">
        <w:rPr>
          <w:rFonts w:asciiTheme="majorHAnsi" w:hAnsiTheme="majorHAnsi" w:cstheme="minorHAnsi"/>
          <w:sz w:val="22"/>
          <w:szCs w:val="22"/>
        </w:rPr>
        <w:t xml:space="preserve"> </w:t>
      </w:r>
      <w:r w:rsidRPr="00334CC2">
        <w:rPr>
          <w:rFonts w:asciiTheme="majorHAnsi" w:hAnsiTheme="majorHAnsi" w:cstheme="minorHAnsi"/>
          <w:sz w:val="22"/>
          <w:szCs w:val="22"/>
        </w:rPr>
        <w:tab/>
      </w:r>
      <w:r w:rsidRPr="00334CC2">
        <w:rPr>
          <w:rFonts w:asciiTheme="majorHAnsi" w:hAnsiTheme="majorHAnsi" w:cstheme="minorHAnsi"/>
          <w:sz w:val="22"/>
          <w:szCs w:val="22"/>
        </w:rPr>
        <w:tab/>
      </w:r>
      <w:r w:rsidRPr="00334CC2">
        <w:rPr>
          <w:rFonts w:asciiTheme="majorHAnsi" w:hAnsiTheme="majorHAnsi" w:cstheme="minorHAnsi"/>
          <w:sz w:val="22"/>
          <w:szCs w:val="22"/>
        </w:rPr>
        <w:tab/>
      </w:r>
      <w:r w:rsidRPr="00334CC2">
        <w:rPr>
          <w:rFonts w:asciiTheme="majorHAnsi" w:hAnsiTheme="majorHAnsi" w:cstheme="minorHAnsi"/>
          <w:sz w:val="22"/>
          <w:szCs w:val="22"/>
        </w:rPr>
        <w:tab/>
        <w:t>Steering Committee Director</w:t>
      </w:r>
      <w:r w:rsidR="00D33B90" w:rsidRPr="00334CC2">
        <w:rPr>
          <w:rFonts w:asciiTheme="majorHAnsi" w:hAnsiTheme="majorHAnsi" w:cstheme="minorHAnsi"/>
          <w:sz w:val="22"/>
          <w:szCs w:val="22"/>
        </w:rPr>
        <w:t xml:space="preserve"> </w:t>
      </w: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DC186B" w:rsidRPr="00334CC2" w:rsidRDefault="00DC186B" w:rsidP="00D33B90">
      <w:pPr>
        <w:pStyle w:val="Default"/>
        <w:rPr>
          <w:rFonts w:asciiTheme="majorHAnsi" w:hAnsiTheme="majorHAnsi" w:cstheme="minorHAnsi"/>
          <w:b/>
          <w:bCs/>
          <w:sz w:val="22"/>
          <w:szCs w:val="22"/>
        </w:rPr>
      </w:pPr>
    </w:p>
    <w:p w:rsidR="006A606B" w:rsidRPr="00334CC2" w:rsidRDefault="008D0C7D" w:rsidP="00D33B90">
      <w:pPr>
        <w:pStyle w:val="Default"/>
        <w:rPr>
          <w:rFonts w:asciiTheme="majorHAnsi" w:hAnsiTheme="majorHAnsi" w:cstheme="minorHAnsi"/>
          <w:sz w:val="22"/>
          <w:szCs w:val="22"/>
        </w:rPr>
      </w:pPr>
      <w:r w:rsidRPr="00334CC2">
        <w:rPr>
          <w:rFonts w:asciiTheme="majorHAnsi" w:hAnsiTheme="majorHAnsi" w:cstheme="minorHAnsi"/>
          <w:b/>
          <w:bCs/>
          <w:sz w:val="22"/>
          <w:szCs w:val="22"/>
        </w:rPr>
        <w:t>E</w:t>
      </w:r>
      <w:r w:rsidR="00D33B90" w:rsidRPr="00334CC2">
        <w:rPr>
          <w:rFonts w:asciiTheme="majorHAnsi" w:hAnsiTheme="majorHAnsi" w:cstheme="minorHAnsi"/>
          <w:b/>
          <w:bCs/>
          <w:sz w:val="22"/>
          <w:szCs w:val="22"/>
        </w:rPr>
        <w:t xml:space="preserve">ffective Date: </w:t>
      </w:r>
      <w:r w:rsidR="000310C1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0310C1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0310C1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0310C1" w:rsidRPr="000310C1">
        <w:rPr>
          <w:rFonts w:asciiTheme="majorHAnsi" w:hAnsiTheme="majorHAnsi" w:cstheme="minorHAnsi"/>
          <w:bCs/>
          <w:sz w:val="22"/>
          <w:szCs w:val="22"/>
        </w:rPr>
        <w:t>7/29/2010</w:t>
      </w:r>
    </w:p>
    <w:sectPr w:rsidR="006A606B" w:rsidRPr="00334CC2" w:rsidSect="000310C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295" w:rsidRDefault="00EC0295" w:rsidP="00D33B90">
      <w:r>
        <w:separator/>
      </w:r>
    </w:p>
  </w:endnote>
  <w:endnote w:type="continuationSeparator" w:id="1">
    <w:p w:rsidR="00EC0295" w:rsidRDefault="00EC0295" w:rsidP="00D33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295" w:rsidRDefault="00EC0295" w:rsidP="00D33B90">
      <w:r>
        <w:separator/>
      </w:r>
    </w:p>
  </w:footnote>
  <w:footnote w:type="continuationSeparator" w:id="1">
    <w:p w:rsidR="00EC0295" w:rsidRDefault="00EC0295" w:rsidP="00D33B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9420"/>
      <w:docPartObj>
        <w:docPartGallery w:val="Page Numbers (Top of Page)"/>
        <w:docPartUnique/>
      </w:docPartObj>
    </w:sdtPr>
    <w:sdtContent>
      <w:p w:rsidR="000310C1" w:rsidRDefault="00CF0D4B">
        <w:pPr>
          <w:pStyle w:val="Header"/>
          <w:jc w:val="right"/>
        </w:pPr>
        <w:fldSimple w:instr=" PAGE   \* MERGEFORMAT ">
          <w:r w:rsidR="006D097B">
            <w:rPr>
              <w:noProof/>
            </w:rPr>
            <w:t>1</w:t>
          </w:r>
        </w:fldSimple>
        <w:r w:rsidR="000310C1">
          <w:t xml:space="preserve"> of 2</w:t>
        </w:r>
      </w:p>
    </w:sdtContent>
  </w:sdt>
  <w:p w:rsidR="000310C1" w:rsidRDefault="000310C1" w:rsidP="000310C1">
    <w:pPr>
      <w:pStyle w:val="Default"/>
      <w:rPr>
        <w:sz w:val="20"/>
        <w:szCs w:val="20"/>
      </w:rPr>
    </w:pPr>
    <w:r>
      <w:rPr>
        <w:sz w:val="20"/>
        <w:szCs w:val="20"/>
      </w:rPr>
      <w:t>Emory University, Department of Orthopaedics</w:t>
    </w:r>
    <w:r w:rsidRPr="006A6B69"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</w:p>
  <w:p w:rsidR="00D33B90" w:rsidRDefault="000310C1" w:rsidP="000310C1">
    <w:pPr>
      <w:pStyle w:val="Default"/>
      <w:rPr>
        <w:sz w:val="20"/>
        <w:szCs w:val="20"/>
      </w:rPr>
    </w:pPr>
    <w:r>
      <w:rPr>
        <w:sz w:val="20"/>
        <w:szCs w:val="20"/>
      </w:rPr>
      <w:t>Clinical Research Division: Standard Operating Procedure for Statistical Support</w:t>
    </w:r>
    <w:r>
      <w:rPr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24912"/>
    <w:multiLevelType w:val="hybridMultilevel"/>
    <w:tmpl w:val="EC88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F16BF"/>
    <w:multiLevelType w:val="hybridMultilevel"/>
    <w:tmpl w:val="0DA4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55B5A"/>
    <w:multiLevelType w:val="hybridMultilevel"/>
    <w:tmpl w:val="D090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B90"/>
    <w:rsid w:val="00011AAB"/>
    <w:rsid w:val="000310C1"/>
    <w:rsid w:val="00096EBE"/>
    <w:rsid w:val="000E10AA"/>
    <w:rsid w:val="00110C2F"/>
    <w:rsid w:val="00151E01"/>
    <w:rsid w:val="001F4B4D"/>
    <w:rsid w:val="00223089"/>
    <w:rsid w:val="002A2981"/>
    <w:rsid w:val="002B4109"/>
    <w:rsid w:val="00334CC2"/>
    <w:rsid w:val="003604CA"/>
    <w:rsid w:val="005B746B"/>
    <w:rsid w:val="00603AA6"/>
    <w:rsid w:val="006A606B"/>
    <w:rsid w:val="006A6B69"/>
    <w:rsid w:val="006D097B"/>
    <w:rsid w:val="006E4AB5"/>
    <w:rsid w:val="008D0C7D"/>
    <w:rsid w:val="00AE05AE"/>
    <w:rsid w:val="00B3518A"/>
    <w:rsid w:val="00B643EC"/>
    <w:rsid w:val="00C37C8B"/>
    <w:rsid w:val="00CF0D4B"/>
    <w:rsid w:val="00D33B90"/>
    <w:rsid w:val="00DC186B"/>
    <w:rsid w:val="00E56131"/>
    <w:rsid w:val="00E72E4B"/>
    <w:rsid w:val="00EC0295"/>
    <w:rsid w:val="00FE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3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3B9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33B90"/>
  </w:style>
  <w:style w:type="paragraph" w:styleId="Footer">
    <w:name w:val="footer"/>
    <w:basedOn w:val="Normal"/>
    <w:link w:val="FooterChar"/>
    <w:uiPriority w:val="99"/>
    <w:semiHidden/>
    <w:unhideWhenUsed/>
    <w:rsid w:val="00D33B9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3B90"/>
  </w:style>
  <w:style w:type="character" w:styleId="Hyperlink">
    <w:name w:val="Hyperlink"/>
    <w:basedOn w:val="DefaultParagraphFont"/>
    <w:uiPriority w:val="99"/>
    <w:unhideWhenUsed/>
    <w:rsid w:val="001F4B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s.gov/HIPAAGenInfo/Downloads/HIPAALaw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EBC01-49C9-4CF3-AF00-C2D66C4B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2863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 Davila, MD</dc:creator>
  <cp:lastModifiedBy>bwu2</cp:lastModifiedBy>
  <cp:revision>2</cp:revision>
  <cp:lastPrinted>2010-07-27T15:36:00Z</cp:lastPrinted>
  <dcterms:created xsi:type="dcterms:W3CDTF">2010-09-14T14:10:00Z</dcterms:created>
  <dcterms:modified xsi:type="dcterms:W3CDTF">2010-09-14T14:10:00Z</dcterms:modified>
</cp:coreProperties>
</file>