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DF" w:rsidRDefault="00084B26" w:rsidP="00084B26">
      <w:pPr>
        <w:jc w:val="center"/>
      </w:pPr>
      <w:r>
        <w:t>Finding discriminating factors between Male and Female</w:t>
      </w:r>
    </w:p>
    <w:tbl>
      <w:tblPr>
        <w:tblStyle w:val="TableGrid"/>
        <w:tblW w:w="11070" w:type="dxa"/>
        <w:jc w:val="center"/>
        <w:tblInd w:w="-792" w:type="dxa"/>
        <w:tblLayout w:type="fixed"/>
        <w:tblLook w:val="04A0"/>
      </w:tblPr>
      <w:tblGrid>
        <w:gridCol w:w="6480"/>
        <w:gridCol w:w="720"/>
        <w:gridCol w:w="720"/>
        <w:gridCol w:w="990"/>
        <w:gridCol w:w="1080"/>
        <w:gridCol w:w="1080"/>
      </w:tblGrid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Ratio</w:t>
            </w:r>
          </w:p>
        </w:tc>
        <w:tc>
          <w:tcPr>
            <w:tcW w:w="2430" w:type="dxa"/>
            <w:gridSpan w:val="3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A3096E">
              <w:rPr>
                <w:sz w:val="14"/>
                <w:szCs w:val="16"/>
              </w:rPr>
              <w:t>P value</w:t>
            </w:r>
          </w:p>
        </w:tc>
        <w:tc>
          <w:tcPr>
            <w:tcW w:w="108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Cutoff Age</w:t>
            </w:r>
            <w:r w:rsidR="00BD3BA7">
              <w:rPr>
                <w:sz w:val="14"/>
                <w:szCs w:val="16"/>
              </w:rPr>
              <w:t>*</w:t>
            </w:r>
            <w:r>
              <w:rPr>
                <w:sz w:val="14"/>
                <w:szCs w:val="16"/>
              </w:rPr>
              <w:t>?</w:t>
            </w:r>
          </w:p>
        </w:tc>
        <w:tc>
          <w:tcPr>
            <w:tcW w:w="1080" w:type="dxa"/>
          </w:tcPr>
          <w:p w:rsidR="009532F3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 -Square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A3096E">
              <w:rPr>
                <w:sz w:val="14"/>
                <w:szCs w:val="16"/>
              </w:rPr>
              <w:t>Gender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A3096E">
              <w:rPr>
                <w:sz w:val="14"/>
                <w:szCs w:val="16"/>
              </w:rPr>
              <w:t>Age</w:t>
            </w:r>
          </w:p>
        </w:tc>
        <w:tc>
          <w:tcPr>
            <w:tcW w:w="990" w:type="dxa"/>
          </w:tcPr>
          <w:p w:rsidR="009532F3" w:rsidRPr="00A3096E" w:rsidRDefault="009532F3" w:rsidP="00DE6E92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A3096E">
              <w:rPr>
                <w:sz w:val="14"/>
                <w:szCs w:val="16"/>
              </w:rPr>
              <w:t>Gender</w:t>
            </w:r>
            <w:r>
              <w:rPr>
                <w:sz w:val="14"/>
                <w:szCs w:val="16"/>
              </w:rPr>
              <w:t>*</w:t>
            </w:r>
            <w:r w:rsidRPr="00A3096E">
              <w:rPr>
                <w:sz w:val="14"/>
                <w:szCs w:val="16"/>
              </w:rPr>
              <w:t>Age</w:t>
            </w:r>
          </w:p>
        </w:tc>
        <w:tc>
          <w:tcPr>
            <w:tcW w:w="1080" w:type="dxa"/>
          </w:tcPr>
          <w:p w:rsidR="009532F3" w:rsidRPr="00A3096E" w:rsidRDefault="009532F3" w:rsidP="00DE6E92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</w:p>
        </w:tc>
        <w:tc>
          <w:tcPr>
            <w:tcW w:w="1080" w:type="dxa"/>
          </w:tcPr>
          <w:p w:rsidR="009532F3" w:rsidRPr="00A3096E" w:rsidRDefault="009532F3" w:rsidP="00DE6E92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Femur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Physis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to Epiphysis</w:t>
            </w:r>
          </w:p>
        </w:tc>
        <w:tc>
          <w:tcPr>
            <w:tcW w:w="720" w:type="dxa"/>
          </w:tcPr>
          <w:p w:rsidR="009532F3" w:rsidRPr="00124F4B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  <w:highlight w:val="yellow"/>
              </w:rPr>
            </w:pPr>
            <w:r w:rsidRPr="00124F4B">
              <w:rPr>
                <w:sz w:val="14"/>
                <w:szCs w:val="16"/>
                <w:highlight w:val="yellow"/>
              </w:rPr>
              <w:t>&lt;0.0001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A3096E"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A3096E">
              <w:rPr>
                <w:sz w:val="14"/>
                <w:szCs w:val="16"/>
              </w:rPr>
              <w:t>0.0070</w:t>
            </w:r>
          </w:p>
        </w:tc>
        <w:tc>
          <w:tcPr>
            <w:tcW w:w="108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&gt;15?</w:t>
            </w:r>
          </w:p>
        </w:tc>
        <w:tc>
          <w:tcPr>
            <w:tcW w:w="1080" w:type="dxa"/>
          </w:tcPr>
          <w:p w:rsidR="009532F3" w:rsidRPr="00A3096E" w:rsidRDefault="009532F3" w:rsidP="001673DB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E549A7">
              <w:rPr>
                <w:sz w:val="14"/>
                <w:szCs w:val="16"/>
                <w:highlight w:val="green"/>
              </w:rPr>
              <w:t>0.7188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Ratio of Femur M:L Epiphysis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0.3817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0.0321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0.9139</w:t>
            </w:r>
          </w:p>
        </w:tc>
        <w:tc>
          <w:tcPr>
            <w:tcW w:w="1080" w:type="dxa"/>
          </w:tcPr>
          <w:p w:rsidR="009532F3" w:rsidRPr="00A3096E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--</w:t>
            </w:r>
          </w:p>
        </w:tc>
        <w:tc>
          <w:tcPr>
            <w:tcW w:w="1080" w:type="dxa"/>
          </w:tcPr>
          <w:p w:rsidR="009532F3" w:rsidRDefault="009532F3" w:rsidP="001673DB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0.0327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Tibial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Physis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to Epiphysis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124F4B">
              <w:rPr>
                <w:sz w:val="14"/>
                <w:szCs w:val="16"/>
                <w:highlight w:val="yellow"/>
              </w:rPr>
              <w:t>0.0327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108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m:oMath>
              <m:r>
                <w:rPr>
                  <w:rFonts w:ascii="Cambria Math" w:hAnsi="Cambria Math"/>
                  <w:sz w:val="14"/>
                  <w:szCs w:val="16"/>
                </w:rPr>
                <m:t>≈</m:t>
              </m:r>
            </m:oMath>
            <w:r>
              <w:rPr>
                <w:sz w:val="14"/>
                <w:szCs w:val="16"/>
              </w:rPr>
              <w:t>6</w:t>
            </w:r>
          </w:p>
        </w:tc>
        <w:tc>
          <w:tcPr>
            <w:tcW w:w="1080" w:type="dxa"/>
          </w:tcPr>
          <w:p w:rsidR="009532F3" w:rsidRDefault="009532F3" w:rsidP="001673DB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E549A7">
              <w:rPr>
                <w:sz w:val="14"/>
                <w:szCs w:val="16"/>
                <w:highlight w:val="green"/>
              </w:rPr>
              <w:t>0.5596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Tibial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M:L Epiphysis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124F4B">
              <w:rPr>
                <w:sz w:val="14"/>
                <w:szCs w:val="16"/>
                <w:highlight w:val="yellow"/>
              </w:rPr>
              <w:t>0.0131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0.1377</w:t>
            </w:r>
          </w:p>
        </w:tc>
        <w:tc>
          <w:tcPr>
            <w:tcW w:w="108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--</w:t>
            </w:r>
          </w:p>
        </w:tc>
        <w:tc>
          <w:tcPr>
            <w:tcW w:w="1080" w:type="dxa"/>
          </w:tcPr>
          <w:p w:rsidR="009532F3" w:rsidRDefault="009532F3" w:rsidP="001673DB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0.1544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CartilageCap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to Epiphysis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124F4B">
              <w:rPr>
                <w:sz w:val="14"/>
                <w:szCs w:val="16"/>
                <w:highlight w:val="yellow"/>
              </w:rPr>
              <w:t>&lt;0.0001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108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&gt;15?</w:t>
            </w:r>
          </w:p>
        </w:tc>
        <w:tc>
          <w:tcPr>
            <w:tcW w:w="1080" w:type="dxa"/>
          </w:tcPr>
          <w:p w:rsidR="009532F3" w:rsidRPr="008F5679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  <w:highlight w:val="yellow"/>
              </w:rPr>
            </w:pPr>
            <w:r w:rsidRPr="00E549A7">
              <w:rPr>
                <w:sz w:val="14"/>
                <w:szCs w:val="16"/>
                <w:highlight w:val="green"/>
              </w:rPr>
              <w:t>0.6498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Tibial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Cartilage width to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Epiphyseal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width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124F4B">
              <w:rPr>
                <w:sz w:val="14"/>
                <w:szCs w:val="16"/>
                <w:highlight w:val="yellow"/>
              </w:rPr>
              <w:t>&lt;0.0001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0.1896</w:t>
            </w:r>
          </w:p>
        </w:tc>
        <w:tc>
          <w:tcPr>
            <w:tcW w:w="1080" w:type="dxa"/>
          </w:tcPr>
          <w:p w:rsidR="009532F3" w:rsidRPr="00A3096E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6"/>
                  </w:rPr>
                  <m:t>≈14</m:t>
                </m:r>
              </m:oMath>
            </m:oMathPara>
          </w:p>
        </w:tc>
        <w:tc>
          <w:tcPr>
            <w:tcW w:w="1080" w:type="dxa"/>
          </w:tcPr>
          <w:p w:rsidR="009532F3" w:rsidRPr="008F5679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  <w:highlight w:val="yellow"/>
              </w:rPr>
            </w:pPr>
            <w:r w:rsidRPr="00E549A7">
              <w:rPr>
                <w:sz w:val="14"/>
                <w:szCs w:val="16"/>
                <w:highlight w:val="green"/>
              </w:rPr>
              <w:t>0.6713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Femur Cartilage volume to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Tibial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Cartilage Cap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0.4261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0.2062</w:t>
            </w:r>
          </w:p>
        </w:tc>
        <w:tc>
          <w:tcPr>
            <w:tcW w:w="108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--</w:t>
            </w:r>
          </w:p>
        </w:tc>
        <w:tc>
          <w:tcPr>
            <w:tcW w:w="1080" w:type="dxa"/>
          </w:tcPr>
          <w:p w:rsidR="009532F3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0.0694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Ratio of Femur Cartilage volume to Femur volume epiphysis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124F4B">
              <w:rPr>
                <w:sz w:val="14"/>
                <w:szCs w:val="16"/>
                <w:highlight w:val="yellow"/>
              </w:rPr>
              <w:t>&lt;0.0001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1080" w:type="dxa"/>
          </w:tcPr>
          <w:p w:rsidR="009532F3" w:rsidRPr="00A3096E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6"/>
                  </w:rPr>
                  <m:t>≈12</m:t>
                </m:r>
              </m:oMath>
            </m:oMathPara>
          </w:p>
        </w:tc>
        <w:tc>
          <w:tcPr>
            <w:tcW w:w="1080" w:type="dxa"/>
          </w:tcPr>
          <w:p w:rsidR="009532F3" w:rsidRPr="00E549A7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  <w:highlight w:val="green"/>
              </w:rPr>
            </w:pPr>
            <w:r w:rsidRPr="00E549A7">
              <w:rPr>
                <w:sz w:val="14"/>
                <w:szCs w:val="16"/>
                <w:highlight w:val="green"/>
              </w:rPr>
              <w:t>0.7275</w:t>
            </w:r>
          </w:p>
        </w:tc>
      </w:tr>
      <w:tr w:rsidR="009532F3" w:rsidRPr="00F43D39" w:rsidTr="009532F3">
        <w:trPr>
          <w:jc w:val="center"/>
        </w:trPr>
        <w:tc>
          <w:tcPr>
            <w:tcW w:w="6480" w:type="dxa"/>
          </w:tcPr>
          <w:p w:rsidR="009532F3" w:rsidRPr="00F43D39" w:rsidRDefault="009532F3" w:rsidP="00DD5ED8">
            <w:pPr>
              <w:rPr>
                <w:sz w:val="16"/>
                <w:szCs w:val="16"/>
              </w:rPr>
            </w:pPr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Ratio of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Tibial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Cartilage Cap to </w:t>
            </w:r>
            <w:proofErr w:type="spellStart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Tibial</w:t>
            </w:r>
            <w:proofErr w:type="spellEnd"/>
            <w:r w:rsidRPr="00F43D39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 xml:space="preserve"> Epiphysis Volume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 w:rsidRPr="00124F4B">
              <w:rPr>
                <w:sz w:val="14"/>
                <w:szCs w:val="16"/>
                <w:highlight w:val="yellow"/>
              </w:rPr>
              <w:t>&lt;0.0001</w:t>
            </w:r>
          </w:p>
        </w:tc>
        <w:tc>
          <w:tcPr>
            <w:tcW w:w="72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990" w:type="dxa"/>
          </w:tcPr>
          <w:p w:rsidR="009532F3" w:rsidRPr="00A3096E" w:rsidRDefault="009532F3" w:rsidP="00F43D39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&lt;0.0001</w:t>
            </w:r>
          </w:p>
        </w:tc>
        <w:tc>
          <w:tcPr>
            <w:tcW w:w="1080" w:type="dxa"/>
          </w:tcPr>
          <w:p w:rsidR="009532F3" w:rsidRPr="00A3096E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6"/>
                  </w:rPr>
                  <m:t>≈13~14</m:t>
                </m:r>
              </m:oMath>
            </m:oMathPara>
          </w:p>
        </w:tc>
        <w:tc>
          <w:tcPr>
            <w:tcW w:w="1080" w:type="dxa"/>
          </w:tcPr>
          <w:p w:rsidR="009532F3" w:rsidRPr="00E549A7" w:rsidRDefault="009532F3" w:rsidP="00301635">
            <w:pPr>
              <w:pStyle w:val="ListParagraph"/>
              <w:ind w:left="0"/>
              <w:jc w:val="center"/>
              <w:rPr>
                <w:sz w:val="14"/>
                <w:szCs w:val="16"/>
                <w:highlight w:val="green"/>
              </w:rPr>
            </w:pPr>
            <w:r w:rsidRPr="00E549A7">
              <w:rPr>
                <w:sz w:val="14"/>
                <w:szCs w:val="16"/>
                <w:highlight w:val="green"/>
              </w:rPr>
              <w:t>0.7282</w:t>
            </w:r>
          </w:p>
        </w:tc>
      </w:tr>
    </w:tbl>
    <w:p w:rsidR="00DD5ED8" w:rsidRDefault="00DD5ED8" w:rsidP="0036310C"/>
    <w:p w:rsidR="00E65B93" w:rsidRDefault="00E549A7" w:rsidP="00E65B93">
      <w:pPr>
        <w:pStyle w:val="ListParagraph"/>
        <w:numPr>
          <w:ilvl w:val="0"/>
          <w:numId w:val="4"/>
        </w:numPr>
      </w:pPr>
      <w:r>
        <w:t>The highlight rows in yellow color show there are significant difference between male and female.</w:t>
      </w:r>
      <w:r w:rsidR="006569AA">
        <w:t xml:space="preserve"> </w:t>
      </w:r>
      <w:r w:rsidR="00145C26">
        <w:t xml:space="preserve"> The results are from ANOVA analysis</w:t>
      </w:r>
      <w:r w:rsidR="00E65B93">
        <w:t>, see graphs in file of “(see the file of “ratio by age</w:t>
      </w:r>
      <w:r w:rsidR="00E65B93" w:rsidRPr="001673DB">
        <w:t>.pdf</w:t>
      </w:r>
      <w:r w:rsidR="00E65B93">
        <w:t>”)</w:t>
      </w:r>
    </w:p>
    <w:p w:rsidR="00E549A7" w:rsidRDefault="00E549A7" w:rsidP="00E65B93">
      <w:pPr>
        <w:pStyle w:val="ListParagraph"/>
        <w:ind w:left="360"/>
      </w:pPr>
    </w:p>
    <w:p w:rsidR="00E549A7" w:rsidRDefault="00E549A7" w:rsidP="008A579E">
      <w:pPr>
        <w:pStyle w:val="ListParagraph"/>
        <w:numPr>
          <w:ilvl w:val="0"/>
          <w:numId w:val="4"/>
        </w:numPr>
      </w:pPr>
      <w:r>
        <w:t>The highlight rows in green color show the trend from the fitting with quadratic term are acceptable</w:t>
      </w:r>
      <w:r w:rsidR="008A579E">
        <w:t>,</w:t>
      </w:r>
      <w:r w:rsidR="001673DB">
        <w:t xml:space="preserve">  and the </w:t>
      </w:r>
      <w:r w:rsidR="006878E8">
        <w:t>cut-off ages were estimated roughly from the graphs</w:t>
      </w:r>
      <w:r w:rsidR="008A579E">
        <w:t xml:space="preserve"> (see the file of “</w:t>
      </w:r>
      <w:r w:rsidR="008A579E" w:rsidRPr="001673DB">
        <w:t>ratio by age trend.pdf</w:t>
      </w:r>
      <w:r w:rsidR="008A579E">
        <w:t>”)</w:t>
      </w:r>
    </w:p>
    <w:sectPr w:rsidR="00E549A7" w:rsidSect="00F6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788"/>
    <w:multiLevelType w:val="hybridMultilevel"/>
    <w:tmpl w:val="E0D29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F06723"/>
    <w:multiLevelType w:val="hybridMultilevel"/>
    <w:tmpl w:val="EDA202C6"/>
    <w:lvl w:ilvl="0" w:tplc="6A6AFFE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1C4702"/>
    <w:multiLevelType w:val="hybridMultilevel"/>
    <w:tmpl w:val="578E4C1C"/>
    <w:lvl w:ilvl="0" w:tplc="3FEA7A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BE74E1"/>
    <w:multiLevelType w:val="hybridMultilevel"/>
    <w:tmpl w:val="5D5AB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84B26"/>
    <w:rsid w:val="00084B26"/>
    <w:rsid w:val="000D6248"/>
    <w:rsid w:val="00124F4B"/>
    <w:rsid w:val="00145C26"/>
    <w:rsid w:val="001673DB"/>
    <w:rsid w:val="001F7F04"/>
    <w:rsid w:val="00301635"/>
    <w:rsid w:val="0036310C"/>
    <w:rsid w:val="004A7863"/>
    <w:rsid w:val="005208B4"/>
    <w:rsid w:val="006569AA"/>
    <w:rsid w:val="006878E8"/>
    <w:rsid w:val="008A579E"/>
    <w:rsid w:val="008F5679"/>
    <w:rsid w:val="009532F3"/>
    <w:rsid w:val="00A3096E"/>
    <w:rsid w:val="00AE1D7B"/>
    <w:rsid w:val="00BD3BA7"/>
    <w:rsid w:val="00BD48DF"/>
    <w:rsid w:val="00DD5ED8"/>
    <w:rsid w:val="00DE6E92"/>
    <w:rsid w:val="00E409C6"/>
    <w:rsid w:val="00E549A7"/>
    <w:rsid w:val="00E65B93"/>
    <w:rsid w:val="00F1684E"/>
    <w:rsid w:val="00F43D39"/>
    <w:rsid w:val="00F6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26"/>
    <w:pPr>
      <w:ind w:left="720"/>
      <w:contextualSpacing/>
    </w:pPr>
  </w:style>
  <w:style w:type="table" w:styleId="TableGrid">
    <w:name w:val="Table Grid"/>
    <w:basedOn w:val="TableNormal"/>
    <w:uiPriority w:val="59"/>
    <w:rsid w:val="00DD5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1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A4481-7B2F-406C-ACFD-DCA98D70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49</cp:revision>
  <dcterms:created xsi:type="dcterms:W3CDTF">2011-11-29T15:56:00Z</dcterms:created>
  <dcterms:modified xsi:type="dcterms:W3CDTF">2011-11-30T19:20:00Z</dcterms:modified>
</cp:coreProperties>
</file>