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CE8" w:rsidRDefault="00870CE8" w:rsidP="00870CE8">
      <w:pPr>
        <w:autoSpaceDE w:val="0"/>
        <w:autoSpaceDN w:val="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Background</w:t>
      </w:r>
      <w:r>
        <w:rPr>
          <w:color w:val="000000"/>
          <w:sz w:val="24"/>
          <w:szCs w:val="24"/>
        </w:rPr>
        <w:t xml:space="preserve">: We reported very low rates (4%) of </w:t>
      </w:r>
      <w:proofErr w:type="spellStart"/>
      <w:r>
        <w:rPr>
          <w:color w:val="000000"/>
          <w:sz w:val="24"/>
          <w:szCs w:val="24"/>
        </w:rPr>
        <w:t>virological</w:t>
      </w:r>
      <w:proofErr w:type="spellEnd"/>
      <w:r>
        <w:rPr>
          <w:color w:val="000000"/>
          <w:sz w:val="24"/>
          <w:szCs w:val="24"/>
        </w:rPr>
        <w:t xml:space="preserve"> failure (VF) for patients after 6 months of first-line ART at two clinics in Durban, South Africa. However, rates of VF are higher in </w:t>
      </w:r>
      <w:proofErr w:type="spellStart"/>
      <w:r>
        <w:rPr>
          <w:color w:val="000000"/>
          <w:sz w:val="24"/>
          <w:szCs w:val="24"/>
        </w:rPr>
        <w:t>peri</w:t>
      </w:r>
      <w:proofErr w:type="spellEnd"/>
      <w:r>
        <w:rPr>
          <w:color w:val="000000"/>
          <w:sz w:val="24"/>
          <w:szCs w:val="24"/>
        </w:rPr>
        <w:t>-urban and rural sites in South Africa (20-40%). We sought to ascertain the individual-level factors associated with VF in order to identify patients at risk for VF earlier in the course of ART.</w:t>
      </w:r>
    </w:p>
    <w:p w:rsidR="00870CE8" w:rsidRDefault="00870CE8" w:rsidP="00870CE8">
      <w:pPr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Methods</w:t>
      </w:r>
      <w:r>
        <w:rPr>
          <w:color w:val="000000"/>
          <w:sz w:val="24"/>
          <w:szCs w:val="24"/>
        </w:rPr>
        <w:t>: This was a planned midpoint analysis of an ongoing case control study of VF conducted at McCord hospital in Durban. Cases were defined as patients with VF (viral load, VL &gt; 1000 copies/</w:t>
      </w:r>
      <w:proofErr w:type="spellStart"/>
      <w:r>
        <w:rPr>
          <w:color w:val="000000"/>
          <w:sz w:val="24"/>
          <w:szCs w:val="24"/>
        </w:rPr>
        <w:t>mL</w:t>
      </w:r>
      <w:proofErr w:type="spellEnd"/>
      <w:r>
        <w:rPr>
          <w:color w:val="000000"/>
          <w:sz w:val="24"/>
          <w:szCs w:val="24"/>
        </w:rPr>
        <w:t xml:space="preserve">) after </w:t>
      </w:r>
      <w:r>
        <w:rPr>
          <w:color w:val="000000"/>
          <w:sz w:val="24"/>
          <w:szCs w:val="24"/>
          <w:u w:val="single"/>
        </w:rPr>
        <w:t>&gt;</w:t>
      </w:r>
      <w:r>
        <w:rPr>
          <w:color w:val="000000"/>
          <w:sz w:val="24"/>
          <w:szCs w:val="24"/>
        </w:rPr>
        <w:t xml:space="preserve"> 6 months of first line ART and controls (2:1) were defined as patients with VL </w:t>
      </w:r>
      <w:r>
        <w:rPr>
          <w:color w:val="000000"/>
          <w:sz w:val="24"/>
          <w:szCs w:val="24"/>
          <w:u w:val="single"/>
        </w:rPr>
        <w:t>&lt;</w:t>
      </w:r>
      <w:r>
        <w:rPr>
          <w:color w:val="000000"/>
          <w:sz w:val="24"/>
          <w:szCs w:val="24"/>
        </w:rPr>
        <w:t xml:space="preserve"> 1000 copies/</w:t>
      </w:r>
      <w:proofErr w:type="spellStart"/>
      <w:r>
        <w:rPr>
          <w:color w:val="000000"/>
          <w:sz w:val="24"/>
          <w:szCs w:val="24"/>
        </w:rPr>
        <w:t>mL</w:t>
      </w:r>
      <w:proofErr w:type="spellEnd"/>
      <w:r>
        <w:rPr>
          <w:color w:val="000000"/>
          <w:sz w:val="24"/>
          <w:szCs w:val="24"/>
        </w:rPr>
        <w:t xml:space="preserve"> after </w:t>
      </w:r>
      <w:r>
        <w:rPr>
          <w:color w:val="000000"/>
          <w:sz w:val="24"/>
          <w:szCs w:val="24"/>
          <w:u w:val="single"/>
        </w:rPr>
        <w:t>&gt;</w:t>
      </w:r>
      <w:r>
        <w:rPr>
          <w:color w:val="000000"/>
          <w:sz w:val="24"/>
          <w:szCs w:val="24"/>
        </w:rPr>
        <w:t xml:space="preserve"> 6 months of first-line ART. Pharmacy refill and pill counts were used as adherence measures. A semi-structured questionnaire including validated psychosocial and symptom measures was administered to all participants and additional data were collected from the medical record. Covariates were compared between cases and controls. A final MV logistic regression model of VF included factors found to be associated with VF (p&lt;0.05) as well as age, gender, and ART regimen.</w:t>
      </w:r>
    </w:p>
    <w:p w:rsidR="00870CE8" w:rsidRDefault="00870CE8" w:rsidP="00870CE8">
      <w:pPr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Results</w:t>
      </w:r>
      <w:r>
        <w:rPr>
          <w:color w:val="000000"/>
          <w:sz w:val="24"/>
          <w:szCs w:val="24"/>
        </w:rPr>
        <w:t xml:space="preserve">: A total of </w:t>
      </w:r>
      <w:r w:rsidR="00D95BE6">
        <w:rPr>
          <w:color w:val="000000"/>
          <w:sz w:val="24"/>
          <w:szCs w:val="24"/>
        </w:rPr>
        <w:t>158</w:t>
      </w:r>
      <w:r>
        <w:rPr>
          <w:color w:val="000000"/>
          <w:sz w:val="24"/>
          <w:szCs w:val="24"/>
        </w:rPr>
        <w:t xml:space="preserve"> cases and </w:t>
      </w:r>
      <w:r w:rsidR="00D95BE6">
        <w:rPr>
          <w:color w:val="000000"/>
          <w:sz w:val="24"/>
          <w:szCs w:val="24"/>
        </w:rPr>
        <w:t>300</w:t>
      </w:r>
      <w:r>
        <w:rPr>
          <w:color w:val="000000"/>
          <w:sz w:val="24"/>
          <w:szCs w:val="24"/>
        </w:rPr>
        <w:t xml:space="preserve"> controls were en</w:t>
      </w:r>
      <w:r w:rsidR="00D95BE6">
        <w:rPr>
          <w:color w:val="000000"/>
          <w:sz w:val="24"/>
          <w:szCs w:val="24"/>
        </w:rPr>
        <w:t>rolled from October 2010 to June 2012. Median age was 38.4</w:t>
      </w:r>
      <w:r>
        <w:rPr>
          <w:color w:val="000000"/>
          <w:sz w:val="24"/>
          <w:szCs w:val="24"/>
        </w:rPr>
        <w:t xml:space="preserve"> years, </w:t>
      </w:r>
      <w:r w:rsidR="00D95BE6">
        <w:rPr>
          <w:color w:val="000000"/>
          <w:sz w:val="24"/>
          <w:szCs w:val="24"/>
        </w:rPr>
        <w:t>64.6</w:t>
      </w:r>
      <w:r>
        <w:rPr>
          <w:color w:val="000000"/>
          <w:sz w:val="24"/>
          <w:szCs w:val="24"/>
        </w:rPr>
        <w:t>% were women, 9</w:t>
      </w:r>
      <w:r w:rsidR="00D95BE6">
        <w:rPr>
          <w:color w:val="000000"/>
          <w:sz w:val="24"/>
          <w:szCs w:val="24"/>
        </w:rPr>
        <w:t>8.7</w:t>
      </w:r>
      <w:r>
        <w:rPr>
          <w:color w:val="000000"/>
          <w:sz w:val="24"/>
          <w:szCs w:val="24"/>
        </w:rPr>
        <w:t xml:space="preserve">% black, CD4 </w:t>
      </w:r>
      <w:r w:rsidR="00D95BE6">
        <w:rPr>
          <w:color w:val="000000"/>
          <w:sz w:val="24"/>
          <w:szCs w:val="24"/>
        </w:rPr>
        <w:t>254</w:t>
      </w:r>
      <w:r>
        <w:rPr>
          <w:color w:val="000000"/>
          <w:sz w:val="24"/>
          <w:szCs w:val="24"/>
        </w:rPr>
        <w:t xml:space="preserve"> cells/</w:t>
      </w:r>
      <w:proofErr w:type="spellStart"/>
      <w:r>
        <w:rPr>
          <w:color w:val="000000"/>
          <w:sz w:val="24"/>
          <w:szCs w:val="24"/>
        </w:rPr>
        <w:t>uL</w:t>
      </w:r>
      <w:proofErr w:type="spellEnd"/>
      <w:r>
        <w:rPr>
          <w:color w:val="000000"/>
          <w:sz w:val="24"/>
          <w:szCs w:val="24"/>
        </w:rPr>
        <w:t xml:space="preserve"> and VL </w:t>
      </w:r>
      <w:r w:rsidR="00D95BE6">
        <w:rPr>
          <w:color w:val="000000"/>
          <w:sz w:val="24"/>
          <w:szCs w:val="24"/>
        </w:rPr>
        <w:t>95,221</w:t>
      </w:r>
      <w:r>
        <w:rPr>
          <w:color w:val="000000"/>
          <w:sz w:val="24"/>
          <w:szCs w:val="24"/>
        </w:rPr>
        <w:t xml:space="preserve"> copies/</w:t>
      </w:r>
      <w:proofErr w:type="spellStart"/>
      <w:r>
        <w:rPr>
          <w:color w:val="000000"/>
          <w:sz w:val="24"/>
          <w:szCs w:val="24"/>
        </w:rPr>
        <w:t>mL</w:t>
      </w:r>
      <w:proofErr w:type="spellEnd"/>
      <w:r>
        <w:rPr>
          <w:color w:val="000000"/>
          <w:sz w:val="24"/>
          <w:szCs w:val="24"/>
        </w:rPr>
        <w:t xml:space="preserve"> for cases. In unadjusted analyses, </w:t>
      </w:r>
      <w:r w:rsidR="00424B52">
        <w:rPr>
          <w:color w:val="000000"/>
          <w:sz w:val="24"/>
          <w:szCs w:val="24"/>
        </w:rPr>
        <w:t xml:space="preserve">the estimate for par </w:t>
      </w:r>
      <w:r w:rsidR="00A0536B">
        <w:rPr>
          <w:color w:val="000000"/>
          <w:sz w:val="24"/>
          <w:szCs w:val="24"/>
        </w:rPr>
        <w:t>score (</w:t>
      </w:r>
      <w:r w:rsidR="003165EE">
        <w:rPr>
          <w:color w:val="000000"/>
          <w:sz w:val="24"/>
          <w:szCs w:val="24"/>
        </w:rPr>
        <w:t>adherence rates=100-pill_count/dispense*100)</w:t>
      </w:r>
      <w:r w:rsidR="00424B52">
        <w:rPr>
          <w:color w:val="000000"/>
          <w:sz w:val="24"/>
          <w:szCs w:val="24"/>
        </w:rPr>
        <w:t xml:space="preserve"> is -0.0518±0.0163 (p=0.0015</w:t>
      </w:r>
      <w:r w:rsidR="00A26BBC">
        <w:rPr>
          <w:color w:val="000000"/>
          <w:sz w:val="24"/>
          <w:szCs w:val="24"/>
        </w:rPr>
        <w:t>) with the</w:t>
      </w:r>
      <w:r w:rsidR="00424B52">
        <w:rPr>
          <w:color w:val="000000"/>
          <w:sz w:val="24"/>
          <w:szCs w:val="24"/>
        </w:rPr>
        <w:t xml:space="preserve"> odds ratio=0.95[0.92-0.98].</w:t>
      </w:r>
      <w:r>
        <w:rPr>
          <w:color w:val="000000"/>
          <w:sz w:val="24"/>
          <w:szCs w:val="24"/>
        </w:rPr>
        <w:t xml:space="preserve"> </w:t>
      </w:r>
      <w:r w:rsidR="0006288C">
        <w:rPr>
          <w:color w:val="000000"/>
          <w:sz w:val="24"/>
          <w:szCs w:val="24"/>
        </w:rPr>
        <w:t xml:space="preserve">The par score </w:t>
      </w:r>
      <w:r w:rsidRPr="0006288C">
        <w:rPr>
          <w:color w:val="000000"/>
          <w:sz w:val="24"/>
          <w:szCs w:val="24"/>
        </w:rPr>
        <w:t>persisted</w:t>
      </w:r>
      <w:r w:rsidR="0006288C">
        <w:rPr>
          <w:color w:val="000000"/>
          <w:sz w:val="24"/>
          <w:szCs w:val="24"/>
        </w:rPr>
        <w:t xml:space="preserve"> significantly </w:t>
      </w:r>
      <w:r w:rsidRPr="0006288C">
        <w:rPr>
          <w:color w:val="000000"/>
          <w:sz w:val="24"/>
          <w:szCs w:val="24"/>
        </w:rPr>
        <w:t>even after adjusting for age, gender, number of</w:t>
      </w:r>
      <w:r w:rsidR="00BE691E">
        <w:rPr>
          <w:color w:val="000000"/>
          <w:sz w:val="24"/>
          <w:szCs w:val="24"/>
        </w:rPr>
        <w:t xml:space="preserve"> opportunistic infections, ART</w:t>
      </w:r>
      <w:r w:rsidR="00211BBA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r w:rsidR="00211BBA">
        <w:rPr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>ge</w:t>
      </w:r>
      <w:r w:rsidR="00C178D3">
        <w:rPr>
          <w:color w:val="000000"/>
          <w:sz w:val="24"/>
          <w:szCs w:val="24"/>
        </w:rPr>
        <w:t>, gender, ART</w:t>
      </w:r>
      <w:r w:rsidR="00384CEF">
        <w:rPr>
          <w:color w:val="000000"/>
          <w:sz w:val="24"/>
          <w:szCs w:val="24"/>
        </w:rPr>
        <w:t>,</w:t>
      </w:r>
      <w:r w:rsidR="00F46200">
        <w:rPr>
          <w:color w:val="000000"/>
          <w:sz w:val="24"/>
          <w:szCs w:val="24"/>
        </w:rPr>
        <w:t xml:space="preserve"> </w:t>
      </w:r>
      <w:r w:rsidR="00DF63D5" w:rsidRPr="00DF63D5">
        <w:rPr>
          <w:color w:val="000000"/>
          <w:sz w:val="24"/>
          <w:szCs w:val="24"/>
        </w:rPr>
        <w:t>at-home support network, fatigue</w:t>
      </w:r>
      <w:r w:rsidR="00BE691E">
        <w:rPr>
          <w:color w:val="000000"/>
          <w:sz w:val="24"/>
          <w:szCs w:val="24"/>
        </w:rPr>
        <w:t xml:space="preserve"> </w:t>
      </w:r>
      <w:r w:rsidR="00BE691E" w:rsidRPr="0006288C">
        <w:rPr>
          <w:color w:val="000000"/>
          <w:sz w:val="24"/>
          <w:szCs w:val="24"/>
        </w:rPr>
        <w:t>from the symptoms scale</w:t>
      </w:r>
      <w:r w:rsidR="00384CEF">
        <w:rPr>
          <w:color w:val="000000"/>
          <w:sz w:val="24"/>
          <w:szCs w:val="24"/>
        </w:rPr>
        <w:t xml:space="preserve"> remained significant</w:t>
      </w:r>
      <w:r>
        <w:rPr>
          <w:color w:val="000000"/>
          <w:sz w:val="24"/>
          <w:szCs w:val="24"/>
        </w:rPr>
        <w:t xml:space="preserve"> in the MV model. Additional variables of interest including </w:t>
      </w:r>
      <w:r w:rsidRPr="00DF63D5">
        <w:rPr>
          <w:color w:val="000000"/>
          <w:sz w:val="24"/>
          <w:szCs w:val="24"/>
        </w:rPr>
        <w:t>employment status</w:t>
      </w:r>
      <w:r w:rsidR="008C5A63" w:rsidRPr="00DF63D5">
        <w:rPr>
          <w:color w:val="000000"/>
          <w:sz w:val="24"/>
          <w:szCs w:val="24"/>
        </w:rPr>
        <w:t xml:space="preserve"> </w:t>
      </w:r>
      <w:r w:rsidR="00AD77D0" w:rsidRPr="00DF63D5">
        <w:rPr>
          <w:color w:val="000000"/>
          <w:sz w:val="24"/>
          <w:szCs w:val="24"/>
        </w:rPr>
        <w:t>(have income or not)</w:t>
      </w:r>
      <w:r w:rsidRPr="00DF63D5">
        <w:rPr>
          <w:color w:val="000000"/>
          <w:sz w:val="24"/>
          <w:szCs w:val="24"/>
        </w:rPr>
        <w:t xml:space="preserve">, </w:t>
      </w:r>
      <w:r w:rsidR="00AD5F70">
        <w:rPr>
          <w:color w:val="000000"/>
          <w:sz w:val="24"/>
          <w:szCs w:val="24"/>
        </w:rPr>
        <w:t xml:space="preserve">depression, </w:t>
      </w:r>
      <w:r w:rsidR="006F6636">
        <w:rPr>
          <w:color w:val="000000"/>
          <w:sz w:val="24"/>
          <w:szCs w:val="24"/>
        </w:rPr>
        <w:t xml:space="preserve">nervousness, </w:t>
      </w:r>
      <w:r>
        <w:rPr>
          <w:color w:val="000000"/>
          <w:sz w:val="24"/>
          <w:szCs w:val="24"/>
        </w:rPr>
        <w:t xml:space="preserve">and </w:t>
      </w:r>
      <w:r w:rsidRPr="00DF63D5">
        <w:rPr>
          <w:color w:val="000000"/>
          <w:sz w:val="24"/>
          <w:szCs w:val="24"/>
        </w:rPr>
        <w:t>contraceptive use</w:t>
      </w:r>
      <w:r>
        <w:rPr>
          <w:color w:val="000000"/>
          <w:sz w:val="24"/>
          <w:szCs w:val="24"/>
        </w:rPr>
        <w:t xml:space="preserve">, were each associated with VF in unadjusted analyses but could not be included in the final model due to potential </w:t>
      </w:r>
      <w:proofErr w:type="spellStart"/>
      <w:r>
        <w:rPr>
          <w:color w:val="000000"/>
          <w:sz w:val="24"/>
          <w:szCs w:val="24"/>
        </w:rPr>
        <w:t>collinearity</w:t>
      </w:r>
      <w:proofErr w:type="spellEnd"/>
      <w:r>
        <w:rPr>
          <w:color w:val="000000"/>
          <w:sz w:val="24"/>
          <w:szCs w:val="24"/>
        </w:rPr>
        <w:t>.</w:t>
      </w:r>
    </w:p>
    <w:p w:rsidR="00CD3E34" w:rsidRDefault="00870CE8" w:rsidP="00870CE8">
      <w:pPr>
        <w:autoSpaceDE w:val="0"/>
        <w:autoSpaceDN w:val="0"/>
      </w:pPr>
      <w:r>
        <w:rPr>
          <w:b/>
          <w:bCs/>
          <w:color w:val="000000"/>
          <w:sz w:val="24"/>
          <w:szCs w:val="24"/>
        </w:rPr>
        <w:t>Conclusions</w:t>
      </w:r>
      <w:r>
        <w:rPr>
          <w:color w:val="000000"/>
          <w:sz w:val="24"/>
          <w:szCs w:val="24"/>
        </w:rPr>
        <w:t>: Pill counts combined with pharmacy refill data can provide a useful surrogate for VF serving as Early Warning Indicators in advance of routine VL monitoring. Adherence interventions may be targeted earlier for patients using these measures. Younger age and stress-related symptoms are associated with VF independent of adherence metrics. Additional risk factors including poor socioeconomic conditions, support and depression will need further exploration.</w:t>
      </w:r>
    </w:p>
    <w:sectPr w:rsidR="00CD3E34" w:rsidSect="00CD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6"/>
  <w:proofState w:spelling="clean" w:grammar="clean"/>
  <w:defaultTabStop w:val="720"/>
  <w:characterSpacingControl w:val="doNotCompress"/>
  <w:compat/>
  <w:rsids>
    <w:rsidRoot w:val="00870CE8"/>
    <w:rsid w:val="0006288C"/>
    <w:rsid w:val="00211BBA"/>
    <w:rsid w:val="003165EE"/>
    <w:rsid w:val="00357658"/>
    <w:rsid w:val="00384CEF"/>
    <w:rsid w:val="00424B52"/>
    <w:rsid w:val="006F6636"/>
    <w:rsid w:val="007E6F79"/>
    <w:rsid w:val="00870CE8"/>
    <w:rsid w:val="008C5A63"/>
    <w:rsid w:val="00A0536B"/>
    <w:rsid w:val="00A23F3C"/>
    <w:rsid w:val="00A26BBC"/>
    <w:rsid w:val="00AD5F70"/>
    <w:rsid w:val="00AD77D0"/>
    <w:rsid w:val="00AE5DBF"/>
    <w:rsid w:val="00B11360"/>
    <w:rsid w:val="00BE691E"/>
    <w:rsid w:val="00C178D3"/>
    <w:rsid w:val="00CD3E34"/>
    <w:rsid w:val="00D67FC5"/>
    <w:rsid w:val="00D95BE6"/>
    <w:rsid w:val="00DF63D5"/>
    <w:rsid w:val="00F46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CE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3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470">
      <w:bodyDiv w:val="1"/>
      <w:marLeft w:val="55"/>
      <w:marRight w:val="5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65432-3CCD-4616-A010-ED6EAD509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School of Public Health</Company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bwu2</dc:creator>
  <cp:keywords/>
  <dc:description/>
  <cp:lastModifiedBy>bwu2</cp:lastModifiedBy>
  <cp:revision>34</cp:revision>
  <dcterms:created xsi:type="dcterms:W3CDTF">2012-10-03T13:37:00Z</dcterms:created>
  <dcterms:modified xsi:type="dcterms:W3CDTF">2012-10-03T17:45:00Z</dcterms:modified>
</cp:coreProperties>
</file>