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6120"/>
          </w:tcPr>
          <w:tcPr>
            <w:hMerge w:val="restart"/>
          </w:tcPr>
          <w:p>
            <w:r>
              <w:t>运营中心指标名称</w:t>
            </w:r>
          </w:p>
        </w:tc>
        <w:tc>
          <w:tcPr>
            <w:tcW w:type="dxa" w:w="1800"/>
          </w:tcPr>
          <w:tcPr>
            <w:hMerge w:val="continue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合同签订后超期未开展履约</w:t>
            </w:r>
          </w:p>
        </w:tc>
        <w:tc>
          <w:tcPr>
            <w:tcW w:type="dxa" w:w="1800"/>
          </w:tcPr>
          <w:p>
            <w:r>
              <w:t>实体库库存物资超期未领用</w:t>
            </w:r>
          </w:p>
        </w:tc>
        <w:tc>
          <w:tcPr>
            <w:tcW w:type="dxa" w:w="1800"/>
          </w:tcPr>
          <w:p>
            <w:r>
              <w:t>投运单办理预警</w:t>
            </w:r>
          </w:p>
        </w:tc>
        <w:tc>
          <w:tcPr>
            <w:tcW w:type="dxa" w:w="1800"/>
          </w:tcPr>
          <w:p>
            <w:r>
              <w:t>物资合同款项监控预警</w:t>
            </w:r>
          </w:p>
        </w:tc>
        <w:tc>
          <w:tcPr>
            <w:tcW w:type="dxa" w:w="1800"/>
          </w:tcPr>
          <w:p>
            <w:r>
              <w:t>虚拟库库存物资超期未领用</w:t>
            </w:r>
          </w:p>
        </w:tc>
        <w:tc>
          <w:tcPr>
            <w:tcW w:type="dxa" w:w="1800"/>
          </w:tcPr>
          <w:p>
            <w:r>
              <w:t>总计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城区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3</w:t>
            </w:r>
          </w:p>
        </w:tc>
        <w:tc>
          <w:tcPr>
            <w:tcW w:type="dxa" w:w="1800"/>
          </w:tcPr>
          <w:p>
            <w:r>
              <w:t>4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城区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66.67%</w:t>
            </w:r>
          </w:p>
        </w:tc>
        <w:tc>
          <w:tcPr>
            <w:tcW w:type="dxa" w:w="1800"/>
          </w:tcPr>
          <w:p>
            <w:r>
              <w:t>50.00%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通州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11</w:t>
            </w:r>
          </w:p>
        </w:tc>
        <w:tc>
          <w:tcPr>
            <w:tcW w:type="dxa" w:w="1800"/>
          </w:tcPr>
          <w:p>
            <w:r>
              <w:t>11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通州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朝阳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6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</w:t>
            </w:r>
          </w:p>
        </w:tc>
        <w:tc>
          <w:tcPr>
            <w:tcW w:type="dxa" w:w="1800"/>
          </w:tcPr>
          <w:p>
            <w:r>
              <w:t>2</w:t>
            </w:r>
          </w:p>
        </w:tc>
        <w:tc>
          <w:tcPr>
            <w:tcW w:type="dxa" w:w="1800"/>
          </w:tcPr>
          <w:p>
            <w:r>
              <w:t>9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朝阳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83.33%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88.89%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海淀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13</w:t>
            </w:r>
          </w:p>
        </w:tc>
        <w:tc>
          <w:tcPr>
            <w:tcW w:type="dxa" w:w="1800"/>
          </w:tcPr>
          <w:p>
            <w:r>
              <w:t>1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7</w:t>
            </w:r>
          </w:p>
        </w:tc>
        <w:tc>
          <w:tcPr>
            <w:tcW w:type="dxa" w:w="1800"/>
          </w:tcPr>
          <w:p>
            <w:r>
              <w:t>21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海淀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7.69%</w:t>
            </w:r>
          </w:p>
        </w:tc>
        <w:tc>
          <w:tcPr>
            <w:tcW w:type="dxa" w:w="1800"/>
          </w:tcPr>
          <w:p>
            <w:r>
              <w:t>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71.43%</w:t>
            </w:r>
          </w:p>
        </w:tc>
        <w:tc>
          <w:tcPr>
            <w:tcW w:type="dxa" w:w="1800"/>
          </w:tcPr>
          <w:p>
            <w:r>
              <w:t>28.57%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丰台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7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3</w:t>
            </w:r>
          </w:p>
        </w:tc>
        <w:tc>
          <w:tcPr>
            <w:tcW w:type="dxa" w:w="1800"/>
          </w:tcPr>
          <w:p>
            <w:r>
              <w:t>10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丰台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30.00%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石景山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53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53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石景山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0.00%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昌平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3</w:t>
            </w:r>
          </w:p>
        </w:tc>
        <w:tc>
          <w:tcPr>
            <w:tcW w:type="dxa" w:w="1800"/>
          </w:tcPr>
          <w:p>
            <w:r>
              <w:t>4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2</w:t>
            </w:r>
          </w:p>
        </w:tc>
        <w:tc>
          <w:tcPr>
            <w:tcW w:type="dxa" w:w="1800"/>
          </w:tcPr>
          <w:p>
            <w:r>
              <w:t>9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昌平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50.00%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77.78%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门头沟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10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9</w:t>
            </w:r>
          </w:p>
        </w:tc>
        <w:tc>
          <w:tcPr>
            <w:tcW w:type="dxa" w:w="1800"/>
          </w:tcPr>
          <w:p>
            <w:r>
              <w:t>19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门头沟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66.67%</w:t>
            </w:r>
          </w:p>
        </w:tc>
        <w:tc>
          <w:tcPr>
            <w:tcW w:type="dxa" w:w="1800"/>
          </w:tcPr>
          <w:p>
            <w:r>
              <w:t>84.21%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房山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29</w:t>
            </w:r>
          </w:p>
        </w:tc>
        <w:tc>
          <w:tcPr>
            <w:tcW w:type="dxa" w:w="1800"/>
          </w:tcPr>
          <w:p>
            <w:r>
              <w:t>10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13</w:t>
            </w:r>
          </w:p>
        </w:tc>
        <w:tc>
          <w:tcPr>
            <w:tcW w:type="dxa" w:w="1800"/>
          </w:tcPr>
          <w:p>
            <w:r>
              <w:t>52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房山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3.45%</w:t>
            </w:r>
          </w:p>
        </w:tc>
        <w:tc>
          <w:tcPr>
            <w:tcW w:type="dxa" w:w="1800"/>
          </w:tcPr>
          <w:p>
            <w:r>
              <w:t>10.00%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28.85%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大兴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11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35</w:t>
            </w:r>
          </w:p>
        </w:tc>
        <w:tc>
          <w:tcPr>
            <w:tcW w:type="dxa" w:w="1800"/>
          </w:tcPr>
          <w:p>
            <w:r>
              <w:t>46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大兴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54.55%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89.13%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平谷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2</w:t>
            </w:r>
          </w:p>
        </w:tc>
        <w:tc>
          <w:tcPr>
            <w:tcW w:type="dxa" w:w="1800"/>
          </w:tcPr>
          <w:p>
            <w:r>
              <w:t>2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平谷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怀柔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11</w:t>
            </w:r>
          </w:p>
        </w:tc>
        <w:tc>
          <w:tcPr>
            <w:tcW w:type="dxa" w:w="1800"/>
          </w:tcPr>
          <w:p>
            <w:r>
              <w:t>11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怀柔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密云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28</w:t>
            </w:r>
          </w:p>
        </w:tc>
        <w:tc>
          <w:tcPr>
            <w:tcW w:type="dxa" w:w="1800"/>
          </w:tcPr>
          <w:p>
            <w:r>
              <w:t>28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密云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78.57%</w:t>
            </w:r>
          </w:p>
        </w:tc>
        <w:tc>
          <w:tcPr>
            <w:tcW w:type="dxa" w:w="1800"/>
          </w:tcPr>
          <w:p>
            <w:r>
              <w:t>78.57%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延庆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8</w:t>
            </w:r>
          </w:p>
        </w:tc>
        <w:tc>
          <w:tcPr>
            <w:tcW w:type="dxa" w:w="1800"/>
          </w:tcPr>
          <w:p>
            <w:r>
              <w:t>63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14</w:t>
            </w:r>
          </w:p>
        </w:tc>
        <w:tc>
          <w:tcPr>
            <w:tcW w:type="dxa" w:w="1800"/>
          </w:tcPr>
          <w:p>
            <w:r>
              <w:t>85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延庆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信通公司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信通公司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检修公司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96</w:t>
            </w:r>
          </w:p>
        </w:tc>
        <w:tc>
          <w:tcPr>
            <w:tcW w:type="dxa" w:w="1800"/>
          </w:tcPr>
          <w:p>
            <w:r>
              <w:t>1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12</w:t>
            </w:r>
          </w:p>
        </w:tc>
        <w:tc>
          <w:tcPr>
            <w:tcW w:type="dxa" w:w="1800"/>
          </w:tcPr>
          <w:p>
            <w:r>
              <w:t>109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检修公司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1.04%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12.84%</w:t>
            </w:r>
          </w:p>
        </w:tc>
      </w:tr>
      <w:tr>
        <w:tc>
          <w:tcPr>
            <w:tcW w:type="dxa" w:w="6120"/>
          </w:tcPr>
          <w:tcPr>
            <w:vMerge w:val="restart"/>
          </w:tcPr>
          <w:p>
            <w:r>
              <w:t>建咨公司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17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7</w:t>
            </w:r>
          </w:p>
        </w:tc>
        <w:tc>
          <w:tcPr>
            <w:tcW w:type="dxa" w:w="1800"/>
          </w:tcPr>
          <w:p>
            <w:r>
              <w:t>24</w:t>
            </w:r>
          </w:p>
        </w:tc>
      </w:tr>
      <w:tr>
        <w:tc>
          <w:tcPr>
            <w:tcW w:type="dxa" w:w="6120"/>
          </w:tcPr>
          <w:tcPr>
            <w:vMerge w:val="continue"/>
          </w:tcPr>
          <w:p>
            <w:r>
              <w:t>建咨公司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57.14%</w:t>
            </w:r>
          </w:p>
        </w:tc>
        <w:tc>
          <w:tcPr>
            <w:tcW w:type="dxa" w:w="1800"/>
          </w:tcPr>
          <w:p>
            <w:r>
              <w:t>16.67%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2023-05-11T02:40:14Z</dcterms:created>
  <dc:creator>Apache POI</dc:creator>
</cp:coreProperties>
</file>