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</w:pPr>
      <w:r>
        <w:rPr>
          <w:rFonts w:hint="eastAsia"/>
        </w:rPr>
        <w:t>业务需求</w:t>
      </w:r>
    </w:p>
    <w:p>
      <w:pPr>
        <w:ind w:firstLine="360"/>
        <w:rPr>
          <w:rFonts w:hint="eastAsia"/>
          <w:szCs w:val="28"/>
        </w:rPr>
      </w:pPr>
      <w:r>
        <w:rPr>
          <w:rFonts w:hint="eastAsia"/>
          <w:szCs w:val="28"/>
        </w:rPr>
        <w:t>业务需求描述了</w:t>
      </w:r>
      <w:r>
        <w:rPr>
          <w:rFonts w:hint="eastAsia"/>
          <w:szCs w:val="28"/>
          <w:lang w:val="en-US" w:eastAsia="zh-CN"/>
        </w:rPr>
        <w:t>本学习帮助</w:t>
      </w:r>
      <w:r>
        <w:rPr>
          <w:rFonts w:hint="eastAsia"/>
          <w:szCs w:val="28"/>
        </w:rPr>
        <w:t>系统的最终目标，以及使用系统的用户所能得到的获益。</w:t>
      </w:r>
    </w:p>
    <w:p>
      <w:pPr>
        <w:pStyle w:val="3"/>
        <w:numPr>
          <w:ilvl w:val="1"/>
          <w:numId w:val="2"/>
        </w:numPr>
      </w:pPr>
      <w:bookmarkStart w:id="0" w:name="_Toc432947836"/>
      <w:r>
        <w:rPr>
          <w:rFonts w:hint="eastAsia"/>
        </w:rPr>
        <w:t>项目背景</w:t>
      </w:r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学习永远是大学生的在学校的首要任务，在如今高速蓬勃发展的信息社会，一些学习成绩优异，掌握优秀技能和知识的人能够更好地适应社会快速发展的节奏，满足社会需要杰出人才的需求。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能在学校真正掌握老师所教授的知识，认认真真，踏踏实实地完成自己的学习任务，并且最后在期末的考试中取得令人满意的成绩，这些目标成了许多大学生的持之以恒地追求。然而在现实的学习生活中，要达成这些目标似乎并不太容易。课上老师的讲述的知识颇具难度，不易于理解吸收；大学生活过于宽松安逸，拥有大批的空闲时间而无法能够合理地分配；想要有学习成绩好的同学帮助自己而常常又事与愿违；身边许多的学习资料种类繁多，内容冗余而又重复，且少数欠权威性。</w:t>
      </w:r>
    </w:p>
    <w:p>
      <w:pPr>
        <w:pStyle w:val="3"/>
        <w:numPr>
          <w:ilvl w:val="1"/>
          <w:numId w:val="2"/>
        </w:numPr>
      </w:pPr>
      <w:bookmarkStart w:id="1" w:name="_Toc432947837"/>
      <w:r>
        <w:rPr>
          <w:rFonts w:hint="eastAsia"/>
        </w:rPr>
        <w:t>业务机遇</w:t>
      </w:r>
      <w:bookmarkEnd w:id="1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许多同学为这些问题烦恼着，需要得到有效的帮助。他们希望能够有保证自己进行日常学习，并且能优化学习资料的系统来给自己解决问题。大学生们迫切需要这样一款应用：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能够帮助自己合理地安排课余时间，制定学习计划，学习目标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系统能够及时地督促自己进行学习，从而高自己的学习效率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系统能够为自己在学习中遇到的问题，包括老师上课讲述的疑难点，作业中的难题等，得到有效且正确的解答，从而完成课程任务，提高学习成绩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系统能够帮助自己优化学习资料，尽量减少重复冗余，且不权威的内容的出现，从而减少自己在甄选学习资料上的时间，提高效率。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存在一些同类型的学习帮助系统，但并不适合大学生使用。他们更希望这个系统简单易用，更加轻量级，只需自己参与互联网即可。同时，他们还希望系统能够安全可靠，内容具有较大的权威性，使得自己的问题能真正有效地得到解决。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2"/>
        </w:numPr>
      </w:pPr>
      <w:bookmarkStart w:id="2" w:name="_Toc432947838"/>
      <w:r>
        <w:rPr>
          <w:rFonts w:hint="eastAsia"/>
        </w:rPr>
        <w:t>业务目标与成功标准</w:t>
      </w:r>
      <w:bookmarkEnd w:id="2"/>
    </w:p>
    <w:p>
      <w:pPr>
        <w:pStyle w:val="4"/>
        <w:numPr>
          <w:ilvl w:val="2"/>
          <w:numId w:val="2"/>
        </w:numPr>
      </w:pPr>
      <w:bookmarkStart w:id="3" w:name="_Toc432947839"/>
      <w:r>
        <w:rPr>
          <w:rFonts w:hint="eastAsia"/>
        </w:rPr>
        <w:t>业务目标</w:t>
      </w:r>
      <w:bookmarkEnd w:id="3"/>
    </w:p>
    <w:p>
      <w:pPr>
        <w:ind w:firstLine="225"/>
      </w:pPr>
      <w:r>
        <w:rPr>
          <w:rFonts w:hint="eastAsia"/>
        </w:rPr>
        <w:t>更详细的业务目标</w:t>
      </w:r>
      <w:r>
        <w:rPr>
          <w:rFonts w:hint="eastAsia"/>
          <w:lang w:val="en-US" w:eastAsia="zh-CN"/>
        </w:rPr>
        <w:t>请</w:t>
      </w:r>
      <w:r>
        <w:rPr>
          <w:rFonts w:hint="eastAsia"/>
        </w:rPr>
        <w:t>参见目标模型文档。</w:t>
      </w:r>
    </w:p>
    <w:tbl>
      <w:tblPr>
        <w:tblStyle w:val="9"/>
        <w:tblpPr w:leftFromText="180" w:rightFromText="180" w:vertAnchor="text" w:horzAnchor="margin" w:tblpY="137"/>
        <w:tblW w:w="8296" w:type="dxa"/>
        <w:tblInd w:w="0" w:type="dxa"/>
        <w:tblBorders>
          <w:top w:val="single" w:color="9CC2E5" w:themeColor="accent1" w:themeTint="99" w:sz="4" w:space="0"/>
          <w:left w:val="single" w:color="9CC2E5" w:themeColor="accent1" w:themeTint="99" w:sz="4" w:space="0"/>
          <w:bottom w:val="single" w:color="9CC2E5" w:themeColor="accent1" w:themeTint="99" w:sz="4" w:space="0"/>
          <w:right w:val="single" w:color="9CC2E5" w:themeColor="accent1" w:themeTint="99" w:sz="4" w:space="0"/>
          <w:insideH w:val="single" w:color="9CC2E5" w:themeColor="accent1" w:themeTint="99" w:sz="4" w:space="0"/>
          <w:insideV w:val="single" w:color="9CC2E5" w:themeColor="accen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6"/>
        <w:gridCol w:w="5730"/>
      </w:tblGrid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nil"/>
              <w:insideH w:val="single" w:sz="4" w:space="0"/>
              <w:insideV w:val="nil"/>
            </w:tcBorders>
            <w:shd w:val="clear" w:color="auto" w:fill="5B9BD5" w:themeFill="accent1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业务目标ID</w:t>
            </w:r>
          </w:p>
        </w:tc>
        <w:tc>
          <w:tcPr>
            <w:tcW w:w="5730" w:type="dxa"/>
            <w:tcBorders>
              <w:top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  <w:insideH w:val="single" w:sz="4" w:space="0"/>
              <w:insideV w:val="nil"/>
            </w:tcBorders>
            <w:shd w:val="clear" w:color="auto" w:fill="5B9BD5" w:themeFill="accent1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BO-01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6" w:type="dxa"/>
            <w:shd w:val="clear" w:color="auto" w:fill="DEEAF6" w:themeFill="accent1" w:themeFillTint="33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内容</w:t>
            </w:r>
          </w:p>
        </w:tc>
        <w:tc>
          <w:tcPr>
            <w:tcW w:w="5730" w:type="dxa"/>
            <w:shd w:val="clear" w:color="auto" w:fill="DEEAF6" w:themeFill="accent1" w:themeFillTint="33"/>
          </w:tcPr>
          <w:p>
            <w:r>
              <w:rPr>
                <w:rFonts w:hint="eastAsia"/>
              </w:rPr>
              <w:t>在系统上线之后半年内，达到预期注册用户数量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6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度量标准（Scale）</w:t>
            </w:r>
          </w:p>
        </w:tc>
        <w:tc>
          <w:tcPr>
            <w:tcW w:w="5730" w:type="dxa"/>
          </w:tcPr>
          <w:p>
            <w:r>
              <w:rPr>
                <w:rFonts w:hint="eastAsia"/>
              </w:rPr>
              <w:t>系统注册用户数量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6" w:type="dxa"/>
            <w:shd w:val="clear" w:color="auto" w:fill="DEEAF6" w:themeFill="accent1" w:themeFillTint="33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计量方法（Meter）</w:t>
            </w:r>
          </w:p>
        </w:tc>
        <w:tc>
          <w:tcPr>
            <w:tcW w:w="5730" w:type="dxa"/>
            <w:shd w:val="clear" w:color="auto" w:fill="DEEAF6" w:themeFill="accent1" w:themeFillTint="33"/>
          </w:tcPr>
          <w:p>
            <w:r>
              <w:rPr>
                <w:rFonts w:hint="eastAsia"/>
              </w:rPr>
              <w:t>系统记录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6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理想标准</w:t>
            </w:r>
          </w:p>
        </w:tc>
        <w:tc>
          <w:tcPr>
            <w:tcW w:w="5730" w:type="dxa"/>
          </w:tcPr>
          <w:p>
            <w:r>
              <w:rPr>
                <w:rFonts w:hint="eastAsia"/>
              </w:rPr>
              <w:t>1万人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6" w:type="dxa"/>
            <w:shd w:val="clear" w:color="auto" w:fill="DEEAF6" w:themeFill="accent1" w:themeFillTint="33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一般标准</w:t>
            </w:r>
          </w:p>
        </w:tc>
        <w:tc>
          <w:tcPr>
            <w:tcW w:w="5730" w:type="dxa"/>
            <w:shd w:val="clear" w:color="auto" w:fill="DEEAF6" w:themeFill="accent1" w:themeFillTint="33"/>
          </w:tcPr>
          <w:p>
            <w:r>
              <w:rPr>
                <w:rFonts w:hint="eastAsia"/>
              </w:rPr>
              <w:t>7000人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6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最低标准</w:t>
            </w:r>
          </w:p>
        </w:tc>
        <w:tc>
          <w:tcPr>
            <w:tcW w:w="5730" w:type="dxa"/>
          </w:tcPr>
          <w:p>
            <w:r>
              <w:rPr>
                <w:rFonts w:hint="eastAsia"/>
              </w:rPr>
              <w:t>4000人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6" w:type="dxa"/>
            <w:shd w:val="clear" w:color="auto" w:fill="5B9BD5" w:themeFill="accent1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业务目标ID</w:t>
            </w:r>
          </w:p>
        </w:tc>
        <w:tc>
          <w:tcPr>
            <w:tcW w:w="5730" w:type="dxa"/>
            <w:shd w:val="clear" w:color="auto" w:fill="5B9BD5" w:themeFill="accent1"/>
          </w:tcPr>
          <w:p>
            <w:pPr>
              <w:jc w:val="center"/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BO-02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6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内容</w:t>
            </w:r>
          </w:p>
        </w:tc>
        <w:tc>
          <w:tcPr>
            <w:tcW w:w="5730" w:type="dxa"/>
            <w:textDirection w:val="lrTb"/>
            <w:vAlign w:val="top"/>
          </w:tcPr>
          <w:p>
            <w:r>
              <w:rPr>
                <w:rFonts w:hint="eastAsia"/>
              </w:rPr>
              <w:t>在系统使用一个学期后，学生用户对于与系统提供的满意度高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6" w:type="dxa"/>
            <w:shd w:val="clear" w:color="auto" w:fill="DEEAF6" w:themeFill="accent1" w:themeFillTint="33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度量标准（Scale）</w:t>
            </w:r>
          </w:p>
        </w:tc>
        <w:tc>
          <w:tcPr>
            <w:tcW w:w="5730" w:type="dxa"/>
            <w:shd w:val="clear" w:color="auto" w:fill="DEEAF6" w:themeFill="accent1" w:themeFillTint="33"/>
            <w:textDirection w:val="lrTb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学生用户对系统各功能的评价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6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计量方法（Meter）</w:t>
            </w:r>
          </w:p>
        </w:tc>
        <w:tc>
          <w:tcPr>
            <w:tcW w:w="5730" w:type="dxa"/>
            <w:textDirection w:val="lrTb"/>
            <w:vAlign w:val="top"/>
          </w:tcPr>
          <w:p>
            <w:r>
              <w:rPr>
                <w:rFonts w:hint="eastAsia"/>
              </w:rPr>
              <w:t>在学期末对用户发布线上调查问卷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6" w:type="dxa"/>
            <w:shd w:val="clear" w:color="auto" w:fill="DEEAF6" w:themeFill="accent1" w:themeFillTint="33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理想标准</w:t>
            </w:r>
          </w:p>
        </w:tc>
        <w:tc>
          <w:tcPr>
            <w:tcW w:w="5730" w:type="dxa"/>
            <w:shd w:val="clear" w:color="auto" w:fill="DEEAF6" w:themeFill="accent1" w:themeFillTint="33"/>
            <w:textDirection w:val="lrTb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各个功能的平均评价中“非常满意”用户超过50%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6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一般标准</w:t>
            </w:r>
          </w:p>
        </w:tc>
        <w:tc>
          <w:tcPr>
            <w:tcW w:w="5730" w:type="dxa"/>
            <w:textDirection w:val="lrTb"/>
            <w:vAlign w:val="top"/>
          </w:tcPr>
          <w:p>
            <w:r>
              <w:rPr>
                <w:rFonts w:hint="eastAsia"/>
              </w:rPr>
              <w:t>各个功能的平均评价中“满意”及以上用户超过60%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6" w:type="dxa"/>
            <w:shd w:val="clear" w:color="auto" w:fill="DEEAF6" w:themeFill="accent1" w:themeFillTint="33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最低标准</w:t>
            </w:r>
          </w:p>
        </w:tc>
        <w:tc>
          <w:tcPr>
            <w:tcW w:w="5730" w:type="dxa"/>
            <w:shd w:val="clear" w:color="auto" w:fill="DEEAF6" w:themeFill="accent1" w:themeFillTint="33"/>
            <w:textDirection w:val="lrTb"/>
            <w:vAlign w:val="top"/>
          </w:tcPr>
          <w:p>
            <w:r>
              <w:rPr>
                <w:rFonts w:hint="eastAsia"/>
              </w:rPr>
              <w:t>各个功能的平均评价中“一般”及以上用户超过70%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6" w:type="dxa"/>
            <w:shd w:val="clear" w:color="auto" w:fill="5B9BD5" w:themeFill="accent1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业务目标ID</w:t>
            </w:r>
          </w:p>
        </w:tc>
        <w:tc>
          <w:tcPr>
            <w:tcW w:w="5730" w:type="dxa"/>
            <w:shd w:val="clear" w:color="auto" w:fill="5B9BD5" w:themeFill="accent1"/>
          </w:tcPr>
          <w:p>
            <w:pPr>
              <w:jc w:val="center"/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BO-03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6" w:type="dxa"/>
            <w:shd w:val="clear" w:color="auto" w:fill="DEEAF6" w:themeFill="accent1" w:themeFillTint="33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内容</w:t>
            </w:r>
          </w:p>
        </w:tc>
        <w:tc>
          <w:tcPr>
            <w:tcW w:w="5730" w:type="dxa"/>
            <w:shd w:val="clear" w:color="auto" w:fill="DEEAF6" w:themeFill="accent1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使用系统后，学生能够获取到经过整理的易用的学习资料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6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度量标准（Scale）</w:t>
            </w:r>
          </w:p>
        </w:tc>
        <w:tc>
          <w:tcPr>
            <w:tcW w:w="573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每周查看用户对每项学习资料给予的评分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6" w:type="dxa"/>
            <w:shd w:val="clear" w:color="auto" w:fill="DEEAF6" w:themeFill="accent1" w:themeFillTint="33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计量方法（Meter）</w:t>
            </w:r>
          </w:p>
        </w:tc>
        <w:tc>
          <w:tcPr>
            <w:tcW w:w="5730" w:type="dxa"/>
            <w:shd w:val="clear" w:color="auto" w:fill="DEEAF6" w:themeFill="accent1" w:themeFillTint="33"/>
          </w:tcPr>
          <w:p>
            <w:r>
              <w:rPr>
                <w:rFonts w:hint="eastAsia"/>
              </w:rPr>
              <w:t>系统</w:t>
            </w:r>
            <w:r>
              <w:rPr>
                <w:rFonts w:hint="eastAsia"/>
                <w:lang w:val="en-US" w:eastAsia="zh-CN"/>
              </w:rPr>
              <w:t>查看并</w:t>
            </w:r>
            <w:r>
              <w:rPr>
                <w:rFonts w:hint="eastAsia"/>
              </w:rPr>
              <w:t>计算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6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理想标准</w:t>
            </w:r>
          </w:p>
        </w:tc>
        <w:tc>
          <w:tcPr>
            <w:tcW w:w="573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好评占下载用户数量的比例超过80%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6" w:type="dxa"/>
            <w:shd w:val="clear" w:color="auto" w:fill="DEEAF6" w:themeFill="accent1" w:themeFillTint="33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一般标准</w:t>
            </w:r>
          </w:p>
        </w:tc>
        <w:tc>
          <w:tcPr>
            <w:tcW w:w="5730" w:type="dxa"/>
            <w:shd w:val="clear" w:color="auto" w:fill="DEEAF6" w:themeFill="accent1" w:themeFillTint="33"/>
          </w:tcPr>
          <w:p>
            <w:r>
              <w:rPr>
                <w:rFonts w:hint="eastAsia"/>
                <w:lang w:val="en-US" w:eastAsia="zh-CN"/>
              </w:rPr>
              <w:t>好评占下载用户数量的比例超过50%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6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最低标准</w:t>
            </w:r>
          </w:p>
        </w:tc>
        <w:tc>
          <w:tcPr>
            <w:tcW w:w="5730" w:type="dxa"/>
          </w:tcPr>
          <w:p>
            <w:r>
              <w:rPr>
                <w:rFonts w:hint="eastAsia"/>
                <w:lang w:val="en-US" w:eastAsia="zh-CN"/>
              </w:rPr>
              <w:t>好评占下载用户数量的比例</w:t>
            </w:r>
            <w:bookmarkStart w:id="6" w:name="_GoBack"/>
            <w:bookmarkEnd w:id="6"/>
            <w:r>
              <w:rPr>
                <w:rFonts w:hint="eastAsia"/>
                <w:lang w:val="en-US" w:eastAsia="zh-CN"/>
              </w:rPr>
              <w:t>超过30%</w:t>
            </w:r>
          </w:p>
        </w:tc>
      </w:tr>
    </w:tbl>
    <w:p>
      <w:pPr>
        <w:pStyle w:val="4"/>
        <w:numPr>
          <w:ilvl w:val="2"/>
          <w:numId w:val="2"/>
        </w:numPr>
      </w:pPr>
      <w:bookmarkStart w:id="4" w:name="_Toc432947840"/>
      <w:r>
        <w:rPr>
          <w:rFonts w:hint="eastAsia"/>
        </w:rPr>
        <w:t>成功标准</w:t>
      </w:r>
      <w:bookmarkEnd w:id="4"/>
    </w:p>
    <w:p>
      <w:pPr>
        <w:pStyle w:val="8"/>
        <w:numPr>
          <w:ilvl w:val="0"/>
          <w:numId w:val="4"/>
        </w:numPr>
        <w:ind w:firstLineChars="0"/>
      </w:pPr>
      <w:r>
        <w:rPr>
          <w:rFonts w:hint="eastAsia"/>
        </w:rPr>
        <w:t>SC-01：在第一版系统上线之后半年内，注册用户达到</w:t>
      </w:r>
      <w:r>
        <w:t>70</w:t>
      </w:r>
      <w:r>
        <w:rPr>
          <w:rFonts w:hint="eastAsia"/>
        </w:rPr>
        <w:t>00人。</w:t>
      </w:r>
    </w:p>
    <w:p>
      <w:pPr>
        <w:pStyle w:val="8"/>
        <w:numPr>
          <w:ilvl w:val="0"/>
          <w:numId w:val="4"/>
        </w:numPr>
        <w:ind w:firstLineChars="0"/>
      </w:pPr>
      <w:r>
        <w:t>S</w:t>
      </w:r>
      <w:r>
        <w:rPr>
          <w:rFonts w:hint="eastAsia"/>
        </w:rPr>
        <w:t>C-02：在第一版系统上线之后半年内，进行满意度调查，用户满意度达到</w:t>
      </w:r>
      <w:r>
        <w:t>6</w:t>
      </w:r>
      <w:r>
        <w:rPr>
          <w:rFonts w:hint="eastAsia"/>
        </w:rPr>
        <w:t>0%以上。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</w:rPr>
      </w:pPr>
    </w:p>
    <w:p>
      <w:pPr>
        <w:pStyle w:val="3"/>
        <w:numPr>
          <w:ilvl w:val="1"/>
          <w:numId w:val="2"/>
        </w:numPr>
      </w:pPr>
      <w:bookmarkStart w:id="5" w:name="_Toc432947841"/>
      <w:r>
        <w:rPr>
          <w:rFonts w:hint="eastAsia"/>
        </w:rPr>
        <w:t>业务风险</w:t>
      </w:r>
      <w:bookmarkEnd w:id="5"/>
    </w:p>
    <w:tbl>
      <w:tblPr>
        <w:tblStyle w:val="9"/>
        <w:tblW w:w="8296" w:type="dxa"/>
        <w:tblInd w:w="0" w:type="dxa"/>
        <w:tblBorders>
          <w:top w:val="single" w:color="9CC2E5" w:themeColor="accent1" w:themeTint="99" w:sz="4" w:space="0"/>
          <w:left w:val="single" w:color="9CC2E5" w:themeColor="accent1" w:themeTint="99" w:sz="4" w:space="0"/>
          <w:bottom w:val="single" w:color="9CC2E5" w:themeColor="accent1" w:themeTint="99" w:sz="4" w:space="0"/>
          <w:right w:val="single" w:color="9CC2E5" w:themeColor="accent1" w:themeTint="99" w:sz="4" w:space="0"/>
          <w:insideH w:val="single" w:color="9CC2E5" w:themeColor="accent1" w:themeTint="99" w:sz="4" w:space="0"/>
          <w:insideV w:val="single" w:color="9CC2E5" w:themeColor="accen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5026"/>
        <w:gridCol w:w="1113"/>
        <w:gridCol w:w="886"/>
      </w:tblGrid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nil"/>
              <w:insideH w:val="single" w:sz="4" w:space="0"/>
              <w:insideV w:val="nil"/>
            </w:tcBorders>
            <w:shd w:val="clear" w:color="auto" w:fill="5B9BD5" w:themeFill="accent1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风险ID</w:t>
            </w:r>
          </w:p>
        </w:tc>
        <w:tc>
          <w:tcPr>
            <w:tcW w:w="5026" w:type="dxa"/>
            <w:tcBorders>
              <w:top w:val="single" w:color="5B9BD5" w:themeColor="accent1" w:sz="4" w:space="0"/>
              <w:bottom w:val="single" w:color="5B9BD5" w:themeColor="accent1" w:sz="4" w:space="0"/>
              <w:right w:val="nil"/>
              <w:insideH w:val="single" w:sz="4" w:space="0"/>
              <w:insideV w:val="nil"/>
            </w:tcBorders>
            <w:shd w:val="clear" w:color="auto" w:fill="5B9BD5" w:themeFill="accent1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风险描述</w:t>
            </w:r>
          </w:p>
        </w:tc>
        <w:tc>
          <w:tcPr>
            <w:tcW w:w="1113" w:type="dxa"/>
            <w:tcBorders>
              <w:top w:val="single" w:color="5B9BD5" w:themeColor="accent1" w:sz="4" w:space="0"/>
              <w:bottom w:val="single" w:color="5B9BD5" w:themeColor="accent1" w:sz="4" w:space="0"/>
              <w:right w:val="nil"/>
              <w:insideH w:val="single" w:sz="4" w:space="0"/>
              <w:insideV w:val="nil"/>
            </w:tcBorders>
            <w:shd w:val="clear" w:color="auto" w:fill="5B9BD5" w:themeFill="accent1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可能性</w:t>
            </w:r>
          </w:p>
        </w:tc>
        <w:tc>
          <w:tcPr>
            <w:tcW w:w="886" w:type="dxa"/>
            <w:tcBorders>
              <w:top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  <w:insideH w:val="single" w:sz="4" w:space="0"/>
              <w:insideV w:val="nil"/>
            </w:tcBorders>
            <w:shd w:val="clear" w:color="auto" w:fill="5B9BD5" w:themeFill="accent1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影响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shd w:val="clear" w:color="auto" w:fill="DEEAF6" w:themeFill="accent1" w:themeFillTint="33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IR-01</w:t>
            </w:r>
          </w:p>
        </w:tc>
        <w:tc>
          <w:tcPr>
            <w:tcW w:w="5026" w:type="dxa"/>
            <w:shd w:val="clear" w:color="auto" w:fill="DEEAF6" w:themeFill="accent1" w:themeFillTint="33"/>
            <w:vAlign w:val="center"/>
          </w:tcPr>
          <w:p>
            <w:r>
              <w:rPr>
                <w:rFonts w:hint="eastAsia"/>
              </w:rPr>
              <w:t>注册用户太少</w:t>
            </w:r>
          </w:p>
        </w:tc>
        <w:tc>
          <w:tcPr>
            <w:tcW w:w="1113" w:type="dxa"/>
            <w:shd w:val="clear" w:color="auto" w:fill="DEEAF6" w:themeFill="accent1" w:themeFillTint="33"/>
            <w:vAlign w:val="center"/>
          </w:tcPr>
          <w:p>
            <w:r>
              <w:rPr>
                <w:rFonts w:hint="eastAsia"/>
              </w:rPr>
              <w:t>0.</w:t>
            </w:r>
            <w:r>
              <w:t>5</w:t>
            </w:r>
          </w:p>
        </w:tc>
        <w:tc>
          <w:tcPr>
            <w:tcW w:w="886" w:type="dxa"/>
            <w:shd w:val="clear" w:color="auto" w:fill="DEEAF6" w:themeFill="accent1" w:themeFillTint="33"/>
            <w:vAlign w:val="center"/>
          </w:tcPr>
          <w:p>
            <w:r>
              <w:rPr>
                <w:rFonts w:hint="eastAsia"/>
              </w:rPr>
              <w:t>9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IR-02</w:t>
            </w:r>
          </w:p>
        </w:tc>
        <w:tc>
          <w:tcPr>
            <w:tcW w:w="5026" w:type="dxa"/>
            <w:vAlign w:val="center"/>
          </w:tcPr>
          <w:p>
            <w:r>
              <w:rPr>
                <w:rFonts w:hint="eastAsia"/>
              </w:rPr>
              <w:t>活跃用户太少，用户很快失去兴趣</w:t>
            </w:r>
          </w:p>
        </w:tc>
        <w:tc>
          <w:tcPr>
            <w:tcW w:w="1113" w:type="dxa"/>
            <w:vAlign w:val="center"/>
          </w:tcPr>
          <w:p>
            <w:r>
              <w:rPr>
                <w:rFonts w:hint="eastAsia"/>
              </w:rPr>
              <w:t>0.4</w:t>
            </w:r>
          </w:p>
        </w:tc>
        <w:tc>
          <w:tcPr>
            <w:tcW w:w="886" w:type="dxa"/>
            <w:vAlign w:val="center"/>
          </w:tcPr>
          <w:p>
            <w:r>
              <w:rPr>
                <w:rFonts w:hint="eastAsia"/>
              </w:rPr>
              <w:t>9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shd w:val="clear" w:color="auto" w:fill="DEEAF6" w:themeFill="accent1" w:themeFillTint="33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IR-03</w:t>
            </w:r>
          </w:p>
        </w:tc>
        <w:tc>
          <w:tcPr>
            <w:tcW w:w="5026" w:type="dxa"/>
            <w:shd w:val="clear" w:color="auto" w:fill="DEEAF6" w:themeFill="accent1" w:themeFillTint="33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学习疑难解答者欠权威，无法给出正确解答</w:t>
            </w:r>
          </w:p>
        </w:tc>
        <w:tc>
          <w:tcPr>
            <w:tcW w:w="1113" w:type="dxa"/>
            <w:shd w:val="clear" w:color="auto" w:fill="DEEAF6" w:themeFill="accent1" w:themeFillTint="33"/>
            <w:vAlign w:val="center"/>
          </w:tcPr>
          <w:p>
            <w:r>
              <w:rPr>
                <w:rFonts w:hint="eastAsia"/>
              </w:rPr>
              <w:t>0.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886" w:type="dxa"/>
            <w:shd w:val="clear" w:color="auto" w:fill="DEEAF6" w:themeFill="accent1" w:themeFillTint="33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IR-04</w:t>
            </w:r>
          </w:p>
        </w:tc>
        <w:tc>
          <w:tcPr>
            <w:tcW w:w="5026" w:type="dxa"/>
            <w:vAlign w:val="center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资料提供者欠可靠以及系统甄别性差，内容依旧冗余</w:t>
            </w:r>
          </w:p>
        </w:tc>
        <w:tc>
          <w:tcPr>
            <w:tcW w:w="1113" w:type="dxa"/>
            <w:vAlign w:val="center"/>
          </w:tcPr>
          <w:p>
            <w:r>
              <w:rPr>
                <w:rFonts w:hint="eastAsia"/>
              </w:rPr>
              <w:t>0.</w:t>
            </w: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886" w:type="dxa"/>
            <w:vAlign w:val="center"/>
          </w:tcPr>
          <w:p>
            <w:r>
              <w:rPr>
                <w:rFonts w:hint="eastAsia"/>
              </w:rPr>
              <w:t>6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shd w:val="clear" w:color="auto" w:fill="DEEAF6" w:themeFill="accent1" w:themeFillTint="33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IR-</w:t>
            </w:r>
            <w:r>
              <w:rPr>
                <w:b/>
                <w:bCs/>
              </w:rPr>
              <w:t>04</w:t>
            </w:r>
          </w:p>
        </w:tc>
        <w:tc>
          <w:tcPr>
            <w:tcW w:w="5026" w:type="dxa"/>
            <w:shd w:val="clear" w:color="auto" w:fill="DEEAF6" w:themeFill="accent1" w:themeFillTint="33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用户传播与学习内容无关消息，扰乱正常学习用户</w:t>
            </w:r>
          </w:p>
        </w:tc>
        <w:tc>
          <w:tcPr>
            <w:tcW w:w="1113" w:type="dxa"/>
            <w:shd w:val="clear" w:color="auto" w:fill="DEEAF6" w:themeFill="accent1" w:themeFillTint="33"/>
            <w:vAlign w:val="center"/>
          </w:tcPr>
          <w:p>
            <w:r>
              <w:rPr>
                <w:rFonts w:hint="eastAsia"/>
              </w:rPr>
              <w:t>0.</w:t>
            </w: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886" w:type="dxa"/>
            <w:shd w:val="clear" w:color="auto" w:fill="DEEAF6" w:themeFill="accent1" w:themeFillTint="33"/>
            <w:vAlign w:val="center"/>
          </w:tcPr>
          <w:p>
            <w:r>
              <w:rPr>
                <w:rFonts w:hint="eastAsia"/>
              </w:rPr>
              <w:t>6</w:t>
            </w:r>
          </w:p>
        </w:tc>
      </w:tr>
    </w:tbl>
    <w:p>
      <w:pPr>
        <w:pStyle w:val="8"/>
        <w:numPr>
          <w:ilvl w:val="0"/>
          <w:numId w:val="0"/>
        </w:numPr>
        <w:ind w:leftChars="0"/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Lucida Grande">
    <w:altName w:val="Arial"/>
    <w:panose1 w:val="00000000000000000000"/>
    <w:charset w:val="00"/>
    <w:family w:val="auto"/>
    <w:pitch w:val="default"/>
    <w:sig w:usb0="00000000" w:usb1="00000000" w:usb2="00000000" w:usb3="00000000" w:csb0="000001BF" w:csb1="00000000"/>
  </w:font>
  <w:font w:name="Microsoft YaHei Mono">
    <w:altName w:val="宋体"/>
    <w:panose1 w:val="00000000000000000000"/>
    <w:charset w:val="86"/>
    <w:family w:val="modern"/>
    <w:pitch w:val="default"/>
    <w:sig w:usb0="00000000" w:usb1="00000000" w:usb2="00000016" w:usb3="00000000" w:csb0="0004001F" w:csb1="00000000"/>
  </w:font>
  <w:font w:name="微软雅黑">
    <w:panose1 w:val="020B0503020204020204"/>
    <w:charset w:val="86"/>
    <w:family w:val="swiss"/>
    <w:pitch w:val="default"/>
    <w:sig w:usb0="A0000287" w:usb1="28C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43173"/>
    <w:multiLevelType w:val="multilevel"/>
    <w:tmpl w:val="0BB43173"/>
    <w:lvl w:ilvl="0" w:tentative="0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 w:tentative="0">
      <w:start w:val="1"/>
      <w:numFmt w:val="decimal"/>
      <w:isLgl/>
      <w:lvlText w:val="%1.%2."/>
      <w:lvlJc w:val="left"/>
      <w:pPr>
        <w:ind w:left="945" w:hanging="720"/>
      </w:pPr>
      <w:rPr>
        <w:rFonts w:hint="default"/>
      </w:rPr>
    </w:lvl>
    <w:lvl w:ilvl="2" w:tentative="0">
      <w:start w:val="1"/>
      <w:numFmt w:val="decimal"/>
      <w:isLgl/>
      <w:lvlText w:val="%1.%2.%3."/>
      <w:lvlJc w:val="left"/>
      <w:pPr>
        <w:ind w:left="945" w:hanging="720"/>
      </w:pPr>
      <w:rPr>
        <w:rFonts w:hint="default"/>
      </w:rPr>
    </w:lvl>
    <w:lvl w:ilvl="3" w:tentative="0">
      <w:start w:val="1"/>
      <w:numFmt w:val="decimal"/>
      <w:isLgl/>
      <w:lvlText w:val="%1.%2.%3.%4."/>
      <w:lvlJc w:val="left"/>
      <w:pPr>
        <w:ind w:left="1305" w:hanging="1080"/>
      </w:pPr>
      <w:rPr>
        <w:rFonts w:hint="default"/>
      </w:rPr>
    </w:lvl>
    <w:lvl w:ilvl="4" w:tentative="0">
      <w:start w:val="1"/>
      <w:numFmt w:val="decimal"/>
      <w:isLgl/>
      <w:lvlText w:val="%1.%2.%3.%4.%5."/>
      <w:lvlJc w:val="left"/>
      <w:pPr>
        <w:ind w:left="1665" w:hanging="1440"/>
      </w:pPr>
      <w:rPr>
        <w:rFonts w:hint="default"/>
      </w:rPr>
    </w:lvl>
    <w:lvl w:ilvl="5" w:tentative="0">
      <w:start w:val="1"/>
      <w:numFmt w:val="decimal"/>
      <w:isLgl/>
      <w:lvlText w:val="%1.%2.%3.%4.%5.%6."/>
      <w:lvlJc w:val="left"/>
      <w:pPr>
        <w:ind w:left="1665" w:hanging="1440"/>
      </w:pPr>
      <w:rPr>
        <w:rFonts w:hint="default"/>
      </w:rPr>
    </w:lvl>
    <w:lvl w:ilvl="6" w:tentative="0">
      <w:start w:val="1"/>
      <w:numFmt w:val="decimal"/>
      <w:isLgl/>
      <w:lvlText w:val="%1.%2.%3.%4.%5.%6.%7."/>
      <w:lvlJc w:val="left"/>
      <w:pPr>
        <w:ind w:left="2025" w:hanging="1800"/>
      </w:pPr>
      <w:rPr>
        <w:rFonts w:hint="default"/>
      </w:rPr>
    </w:lvl>
    <w:lvl w:ilvl="7" w:tentative="0">
      <w:start w:val="1"/>
      <w:numFmt w:val="decimal"/>
      <w:isLgl/>
      <w:lvlText w:val="%1.%2.%3.%4.%5.%6.%7.%8."/>
      <w:lvlJc w:val="left"/>
      <w:pPr>
        <w:ind w:left="2385" w:hanging="2160"/>
      </w:pPr>
      <w:rPr>
        <w:rFonts w:hint="default"/>
      </w:rPr>
    </w:lvl>
    <w:lvl w:ilvl="8" w:tentative="0">
      <w:start w:val="1"/>
      <w:numFmt w:val="decimal"/>
      <w:isLgl/>
      <w:lvlText w:val="%1.%2.%3.%4.%5.%6.%7.%8.%9."/>
      <w:lvlJc w:val="left"/>
      <w:pPr>
        <w:ind w:left="2385" w:hanging="2160"/>
      </w:pPr>
      <w:rPr>
        <w:rFonts w:hint="default"/>
      </w:rPr>
    </w:lvl>
  </w:abstractNum>
  <w:abstractNum w:abstractNumId="1">
    <w:nsid w:val="2B2A2C29"/>
    <w:multiLevelType w:val="multilevel"/>
    <w:tmpl w:val="2B2A2C2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 w:tentative="0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>
    <w:nsid w:val="57FF31A8"/>
    <w:multiLevelType w:val="singleLevel"/>
    <w:tmpl w:val="57FF31A8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D8A4D12"/>
    <w:multiLevelType w:val="multilevel"/>
    <w:tmpl w:val="5D8A4D12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638DB"/>
    <w:rsid w:val="00EF064A"/>
    <w:rsid w:val="016365B8"/>
    <w:rsid w:val="02244398"/>
    <w:rsid w:val="046B0234"/>
    <w:rsid w:val="09652E96"/>
    <w:rsid w:val="0D45521E"/>
    <w:rsid w:val="0DF93312"/>
    <w:rsid w:val="13081C63"/>
    <w:rsid w:val="28D97EE8"/>
    <w:rsid w:val="2B340122"/>
    <w:rsid w:val="2D8707FB"/>
    <w:rsid w:val="2EFD3A38"/>
    <w:rsid w:val="30467F42"/>
    <w:rsid w:val="31EC341F"/>
    <w:rsid w:val="353777FA"/>
    <w:rsid w:val="35995B9A"/>
    <w:rsid w:val="35CC74D5"/>
    <w:rsid w:val="37B563D3"/>
    <w:rsid w:val="3D332BCC"/>
    <w:rsid w:val="3F6B5500"/>
    <w:rsid w:val="3F6E6034"/>
    <w:rsid w:val="408C7DDD"/>
    <w:rsid w:val="42000DBB"/>
    <w:rsid w:val="42E82283"/>
    <w:rsid w:val="46DF3EA3"/>
    <w:rsid w:val="49560BCF"/>
    <w:rsid w:val="4A44692A"/>
    <w:rsid w:val="4E7F4F89"/>
    <w:rsid w:val="58AD6351"/>
    <w:rsid w:val="5CCD6517"/>
    <w:rsid w:val="5CF34C83"/>
    <w:rsid w:val="5E947474"/>
    <w:rsid w:val="67DA3565"/>
    <w:rsid w:val="69845C90"/>
    <w:rsid w:val="6B257EE3"/>
    <w:rsid w:val="6CD01C32"/>
    <w:rsid w:val="6F731855"/>
    <w:rsid w:val="70BD3E37"/>
    <w:rsid w:val="72FF2A39"/>
    <w:rsid w:val="73946D3B"/>
    <w:rsid w:val="78C049A4"/>
    <w:rsid w:val="79E43970"/>
    <w:rsid w:val="7A0F642F"/>
    <w:rsid w:val="7A80602B"/>
    <w:rsid w:val="7B1D5F8A"/>
    <w:rsid w:val="7DD447D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  <w:style w:type="table" w:customStyle="1" w:styleId="9">
    <w:name w:val="网格表 4 - 着色 11"/>
    <w:basedOn w:val="7"/>
    <w:uiPriority w:val="49"/>
    <w:tblPr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EEAF6" w:themeFill="accent1" w:themeFillTint="33"/>
      </w:tcPr>
    </w:tblStylePr>
    <w:tblStylePr w:type="band1Horz">
      <w:tblPr>
        <w:tblLayout w:type="fixed"/>
      </w:tblPr>
      <w:tcPr>
        <w:shd w:val="clear" w:color="auto" w:fill="DEEAF6" w:themeFill="accent1" w:themeFillTint="33"/>
      </w:tcPr>
    </w:tblStyle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2016-10-14T08:53:15Z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