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321CC" w14:textId="77777777" w:rsidR="0061728B" w:rsidRPr="006D18DE" w:rsidRDefault="0061728B" w:rsidP="0061728B">
      <w:pPr>
        <w:pStyle w:val="1"/>
        <w:spacing w:before="0" w:after="0"/>
        <w:textAlignment w:val="baseline"/>
        <w:rPr>
          <w:rFonts w:ascii="Times New Roman" w:eastAsia="宋体" w:hAnsi="Times New Roman" w:cs="Times New Roman"/>
          <w:b w:val="0"/>
          <w:bCs w:val="0"/>
          <w:caps/>
          <w:color w:val="333333"/>
          <w:kern w:val="36"/>
          <w:sz w:val="32"/>
          <w:szCs w:val="32"/>
        </w:rPr>
      </w:pPr>
      <w:r w:rsidRPr="006D18DE">
        <w:rPr>
          <w:sz w:val="32"/>
          <w:szCs w:val="32"/>
        </w:rPr>
        <w:t xml:space="preserve">Energy profile – </w:t>
      </w:r>
      <w:r w:rsidRPr="006D18DE">
        <w:rPr>
          <w:rFonts w:ascii="Times New Roman" w:eastAsia="宋体" w:hAnsi="Times New Roman" w:cs="Times New Roman"/>
          <w:b w:val="0"/>
          <w:bCs w:val="0"/>
          <w:caps/>
          <w:color w:val="333333"/>
          <w:kern w:val="36"/>
          <w:sz w:val="32"/>
          <w:szCs w:val="32"/>
        </w:rPr>
        <w:t>CALIFORNIA</w:t>
      </w:r>
    </w:p>
    <w:p w14:paraId="683C10F5" w14:textId="77777777" w:rsidR="00591984" w:rsidRPr="00591984" w:rsidRDefault="00591984" w:rsidP="00591984">
      <w:pPr>
        <w:widowControl/>
        <w:shd w:val="clear" w:color="auto" w:fill="FFFFFF"/>
        <w:jc w:val="left"/>
        <w:textAlignment w:val="baseline"/>
        <w:outlineLvl w:val="1"/>
        <w:rPr>
          <w:rFonts w:ascii="Times New Roman" w:eastAsia="宋体" w:hAnsi="Times New Roman" w:cs="Times New Roman"/>
          <w:color w:val="333333"/>
          <w:kern w:val="0"/>
          <w:sz w:val="27"/>
          <w:szCs w:val="27"/>
        </w:rPr>
      </w:pPr>
      <w:r w:rsidRPr="00591984">
        <w:rPr>
          <w:rFonts w:ascii="Times New Roman" w:eastAsia="宋体" w:hAnsi="Times New Roman" w:cs="Times New Roman"/>
          <w:color w:val="333333"/>
          <w:kern w:val="0"/>
          <w:sz w:val="27"/>
          <w:szCs w:val="27"/>
        </w:rPr>
        <w:t>Overview</w:t>
      </w:r>
    </w:p>
    <w:p w14:paraId="2DF6508D" w14:textId="0B017643" w:rsidR="008D2180" w:rsidRDefault="00F14AF5" w:rsidP="00591984">
      <w:pPr>
        <w:rPr>
          <w:rFonts w:ascii="Arial" w:hAnsi="Arial" w:cs="Arial"/>
          <w:color w:val="333333"/>
          <w:sz w:val="20"/>
          <w:szCs w:val="20"/>
          <w:shd w:val="clear" w:color="auto" w:fill="FFFFFF"/>
        </w:rPr>
      </w:pPr>
      <w:r w:rsidRPr="00F14AF5">
        <w:t>加州西海岸的三分之二，加利福尼亚州是全美第三大州</w:t>
      </w:r>
      <w:r>
        <w:rPr>
          <w:rFonts w:hint="eastAsia"/>
        </w:rPr>
        <w:t>，也是</w:t>
      </w:r>
      <w:r w:rsidRPr="00F14AF5">
        <w:t>是全国人口最多的州，经济规模最大，其能源需求总量仅次于德克萨斯州。加州的广泛努力提高能源利用效率，以替代技术实施以来，已经抑制能源需求的增长。加州还拥有丰富的能源资源。国家原油供应充足，是传统水力发电的最大生产国。加利福尼亚州还通过太阳能，地热和生物质资源在全国发电。</w:t>
      </w:r>
      <w:r w:rsidR="002D47E8" w:rsidRPr="002D47E8">
        <w:rPr>
          <w:rFonts w:ascii="Arial" w:hAnsi="Arial" w:cs="Arial"/>
          <w:color w:val="333333"/>
          <w:sz w:val="20"/>
          <w:szCs w:val="20"/>
          <w:shd w:val="clear" w:color="auto" w:fill="FFFFFF"/>
        </w:rPr>
        <w:t>运输占主导地位加州的能耗简况。在加利福尼亚州注册的机动车比在其他任何州都多，</w:t>
      </w:r>
      <w:r w:rsidR="002D47E8">
        <w:rPr>
          <w:rFonts w:ascii="Arial" w:hAnsi="Arial" w:cs="Arial" w:hint="eastAsia"/>
          <w:color w:val="333333"/>
          <w:sz w:val="20"/>
          <w:szCs w:val="20"/>
          <w:shd w:val="clear" w:color="auto" w:fill="FFFFFF"/>
        </w:rPr>
        <w:t>使用时间也是最长的加州也占据了全国五分之一的喷气式燃料的消耗。，</w:t>
      </w:r>
    </w:p>
    <w:p w14:paraId="60E43665" w14:textId="5222AE06" w:rsidR="002D47E8" w:rsidRDefault="002D47E8" w:rsidP="00591984">
      <w:r w:rsidRPr="002D47E8">
        <w:t>Stretching two-thirds of the way up the West Coast, California is the nation's third-largest state</w:t>
      </w:r>
      <w:r>
        <w:rPr>
          <w:rFonts w:hint="eastAsia"/>
        </w:rPr>
        <w:t>，and</w:t>
      </w:r>
      <w:r>
        <w:t xml:space="preserve"> </w:t>
      </w:r>
      <w:r>
        <w:rPr>
          <w:rFonts w:hint="eastAsia"/>
        </w:rPr>
        <w:t>also</w:t>
      </w:r>
      <w:r>
        <w:t xml:space="preserve"> </w:t>
      </w:r>
      <w:r w:rsidRPr="002D47E8">
        <w:t>California is the most populated state in the nation, and, with the largest economy, its total energy demand is second only to Texas. California's extensive efforts to increase energy efficiency, along with the implementation of alternative technologies, has restrained growth in energy demand. California is also rich in energy resources. The state has an abundant supply of crude oil and is a top producer of conventional hydroelectric power. California also leads the nation in electricity generation from solar, geothermal, and biomass resources.</w:t>
      </w:r>
      <w:r w:rsidRPr="008D2180">
        <w:rPr>
          <w:rFonts w:hint="eastAsia"/>
        </w:rPr>
        <w:t xml:space="preserve"> </w:t>
      </w:r>
      <w:r w:rsidRPr="002D47E8">
        <w:t>Transportation dominates California's energy consumption profile. More motor vehicles are registered in California than in any other state, and commute times in California are among the longest in the country. The state also accounts for one-fifth of the nation's jet fuel consumption.</w:t>
      </w:r>
    </w:p>
    <w:p w14:paraId="03C1B31E" w14:textId="77777777" w:rsidR="002D47E8" w:rsidRPr="002D47E8" w:rsidRDefault="002D47E8" w:rsidP="002D47E8">
      <w:pPr>
        <w:widowControl/>
        <w:pBdr>
          <w:top w:val="single" w:sz="6" w:space="15" w:color="666666"/>
        </w:pBdr>
        <w:shd w:val="clear" w:color="auto" w:fill="FFFFFF"/>
        <w:spacing w:before="390"/>
        <w:jc w:val="left"/>
        <w:textAlignment w:val="baseline"/>
        <w:outlineLvl w:val="1"/>
        <w:rPr>
          <w:rFonts w:ascii="Times New Roman" w:eastAsia="宋体" w:hAnsi="Times New Roman" w:cs="Times New Roman"/>
          <w:color w:val="333333"/>
          <w:kern w:val="0"/>
          <w:sz w:val="27"/>
          <w:szCs w:val="27"/>
        </w:rPr>
      </w:pPr>
      <w:r w:rsidRPr="002D47E8">
        <w:rPr>
          <w:rFonts w:ascii="Times New Roman" w:eastAsia="宋体" w:hAnsi="Times New Roman" w:cs="Times New Roman"/>
          <w:color w:val="333333"/>
          <w:kern w:val="0"/>
          <w:sz w:val="27"/>
          <w:szCs w:val="27"/>
        </w:rPr>
        <w:t>Petroleum</w:t>
      </w:r>
    </w:p>
    <w:p w14:paraId="177AF32D" w14:textId="39AA7597" w:rsidR="002D47E8" w:rsidRDefault="0041767D" w:rsidP="00591984">
      <w:r>
        <w:rPr>
          <w:rFonts w:hint="eastAsia"/>
        </w:rPr>
        <w:t>对于加利福尼亚州，石油</w:t>
      </w:r>
      <w:r w:rsidR="003A2139">
        <w:rPr>
          <w:rFonts w:hint="eastAsia"/>
        </w:rPr>
        <w:t>是它最主要的能源来源，近五十年来，石油占能源总消耗上均占6</w:t>
      </w:r>
      <w:r w:rsidR="003A2139">
        <w:t>0</w:t>
      </w:r>
      <w:r w:rsidR="003A2139">
        <w:rPr>
          <w:rFonts w:hint="eastAsia"/>
        </w:rPr>
        <w:t>%以上，但可以看出，在不断地技术革新背后，石油所占比例在总消耗中呈现</w:t>
      </w:r>
      <w:r w:rsidR="007751A0">
        <w:rPr>
          <w:rFonts w:hint="eastAsia"/>
        </w:rPr>
        <w:t>微弱的下降</w:t>
      </w:r>
      <w:r w:rsidR="003A2139">
        <w:rPr>
          <w:rFonts w:hint="eastAsia"/>
        </w:rPr>
        <w:t>趋势。尤其是工业部门，近几年来石油使用比例在波动中下降，与天然气呈现出互为补充的态势，随着天然气的使用的增长，石油或许会被逐步替代。但在交通运输部门，石油的使用比例接近于1</w:t>
      </w:r>
      <w:r w:rsidR="003A2139">
        <w:t>00</w:t>
      </w:r>
      <w:r w:rsidR="003A2139">
        <w:rPr>
          <w:rFonts w:hint="eastAsia"/>
        </w:rPr>
        <w:t>%，并且未有下降趋势。而且在商业部门和居住部门，石油的使用比例都有一定程度的上升，2</w:t>
      </w:r>
      <w:r w:rsidR="003A2139">
        <w:t>009</w:t>
      </w:r>
      <w:r w:rsidR="003A2139">
        <w:rPr>
          <w:rFonts w:hint="eastAsia"/>
        </w:rPr>
        <w:t>年附近达到了4</w:t>
      </w:r>
      <w:r w:rsidR="003A2139">
        <w:t>0</w:t>
      </w:r>
      <w:r w:rsidR="003A2139">
        <w:rPr>
          <w:rFonts w:hint="eastAsia"/>
        </w:rPr>
        <w:t>%和5</w:t>
      </w:r>
      <w:r w:rsidR="003A2139">
        <w:t>0</w:t>
      </w:r>
      <w:r w:rsidR="003A2139">
        <w:rPr>
          <w:rFonts w:hint="eastAsia"/>
        </w:rPr>
        <w:t>%的使用比例。说明加利福尼亚州对于石油的依赖性是很强的，总体虽有下降趋势，但短期内不能</w:t>
      </w:r>
      <w:r w:rsidR="007751A0">
        <w:rPr>
          <w:rFonts w:hint="eastAsia"/>
        </w:rPr>
        <w:t>离开石油。</w:t>
      </w:r>
    </w:p>
    <w:p w14:paraId="23DC6F22" w14:textId="77777777" w:rsidR="007751A0" w:rsidRPr="007751A0" w:rsidRDefault="007751A0" w:rsidP="007751A0">
      <w:r w:rsidRPr="007751A0">
        <w:rPr>
          <w:lang w:val="en"/>
        </w:rPr>
        <w:t>For California, oil is its primary source of energy, with oil accounting for more than 60% of total energy consumption in the past 50 years. However, it can be seen that the share of oil in total consumption after constant technological innovation Showing a weak downward trend. In particular, in the industrial sector, the proportion of oil used in the past few years has dropped in volatility and has been shown to complement each other with natural gas. With the growth in the use of natural gas, oil may be gradually replaced. However, in the transportation sector, the share of oil used is close to 100% and there is no downward trend. In the commercial and residential sectors, the proportion of oil used has risen to some extent, reaching around 40% and 50% in 2009. It shows that California is very dependent on oil. Although the overall trend is declining, it can not leave the oil in the short term.</w:t>
      </w:r>
    </w:p>
    <w:p w14:paraId="10E68374" w14:textId="77777777" w:rsidR="007751A0" w:rsidRPr="007751A0" w:rsidRDefault="007751A0" w:rsidP="007751A0">
      <w:pPr>
        <w:widowControl/>
        <w:pBdr>
          <w:top w:val="single" w:sz="6" w:space="15" w:color="666666"/>
        </w:pBdr>
        <w:shd w:val="clear" w:color="auto" w:fill="FFFFFF"/>
        <w:spacing w:before="390"/>
        <w:jc w:val="left"/>
        <w:textAlignment w:val="baseline"/>
        <w:outlineLvl w:val="1"/>
        <w:rPr>
          <w:rFonts w:ascii="Times New Roman" w:eastAsia="宋体" w:hAnsi="Times New Roman" w:cs="Times New Roman"/>
          <w:color w:val="333333"/>
          <w:kern w:val="0"/>
          <w:sz w:val="27"/>
          <w:szCs w:val="27"/>
        </w:rPr>
      </w:pPr>
      <w:r w:rsidRPr="007751A0">
        <w:rPr>
          <w:rFonts w:ascii="Times New Roman" w:eastAsia="宋体" w:hAnsi="Times New Roman" w:cs="Times New Roman"/>
          <w:color w:val="333333"/>
          <w:kern w:val="0"/>
          <w:sz w:val="27"/>
          <w:szCs w:val="27"/>
        </w:rPr>
        <w:t>Natural gas</w:t>
      </w:r>
    </w:p>
    <w:p w14:paraId="0E5815E8" w14:textId="3C69E445" w:rsidR="007751A0" w:rsidRPr="007751A0" w:rsidRDefault="007751A0" w:rsidP="007751A0">
      <w:pPr>
        <w:widowControl/>
        <w:shd w:val="clear" w:color="auto" w:fill="FFFFFF"/>
        <w:spacing w:after="240"/>
        <w:jc w:val="left"/>
        <w:textAlignment w:val="baseline"/>
        <w:rPr>
          <w:rFonts w:ascii="宋体" w:eastAsia="宋体" w:hAnsi="宋体" w:cs="Arial" w:hint="eastAsia"/>
          <w:color w:val="333333"/>
          <w:kern w:val="0"/>
          <w:sz w:val="19"/>
          <w:szCs w:val="19"/>
        </w:rPr>
      </w:pPr>
      <w:r w:rsidRPr="007751A0">
        <w:rPr>
          <w:rFonts w:ascii="宋体" w:eastAsia="宋体" w:hAnsi="宋体" w:cs="Arial"/>
          <w:color w:val="333333"/>
          <w:kern w:val="0"/>
          <w:sz w:val="19"/>
          <w:szCs w:val="19"/>
        </w:rPr>
        <w:lastRenderedPageBreak/>
        <w:t>加州仅占美国天然气储量和产量的不到1％。</w:t>
      </w:r>
      <w:r>
        <w:rPr>
          <w:rFonts w:ascii="宋体" w:eastAsia="宋体" w:hAnsi="宋体" w:cs="Arial" w:hint="eastAsia"/>
          <w:color w:val="333333"/>
          <w:kern w:val="0"/>
          <w:sz w:val="19"/>
          <w:szCs w:val="19"/>
        </w:rPr>
        <w:t>在上世纪七十年代以后，</w:t>
      </w:r>
      <w:r w:rsidRPr="007751A0">
        <w:rPr>
          <w:rFonts w:ascii="宋体" w:eastAsia="宋体" w:hAnsi="宋体" w:cs="Arial"/>
          <w:color w:val="333333"/>
          <w:kern w:val="0"/>
          <w:sz w:val="19"/>
          <w:szCs w:val="19"/>
        </w:rPr>
        <w:t>加州的天然气产量在经历了</w:t>
      </w:r>
      <w:r>
        <w:rPr>
          <w:rFonts w:ascii="宋体" w:eastAsia="宋体" w:hAnsi="宋体" w:cs="Arial" w:hint="eastAsia"/>
          <w:color w:val="333333"/>
          <w:kern w:val="0"/>
          <w:sz w:val="19"/>
          <w:szCs w:val="19"/>
        </w:rPr>
        <w:t>三十年的</w:t>
      </w:r>
      <w:r w:rsidRPr="007751A0">
        <w:rPr>
          <w:rFonts w:ascii="宋体" w:eastAsia="宋体" w:hAnsi="宋体" w:cs="Arial"/>
          <w:color w:val="333333"/>
          <w:kern w:val="0"/>
          <w:sz w:val="19"/>
          <w:szCs w:val="19"/>
        </w:rPr>
        <w:t>逐步全面下降。</w:t>
      </w:r>
      <w:r>
        <w:rPr>
          <w:rFonts w:ascii="宋体" w:eastAsia="宋体" w:hAnsi="宋体" w:cs="Arial" w:hint="eastAsia"/>
          <w:color w:val="333333"/>
          <w:kern w:val="0"/>
          <w:sz w:val="19"/>
          <w:szCs w:val="19"/>
        </w:rPr>
        <w:t>从六十年代的3</w:t>
      </w:r>
      <w:r>
        <w:rPr>
          <w:rFonts w:ascii="宋体" w:eastAsia="宋体" w:hAnsi="宋体" w:cs="Arial"/>
          <w:color w:val="333333"/>
          <w:kern w:val="0"/>
          <w:sz w:val="19"/>
          <w:szCs w:val="19"/>
        </w:rPr>
        <w:t>0</w:t>
      </w:r>
      <w:r>
        <w:rPr>
          <w:rFonts w:ascii="宋体" w:eastAsia="宋体" w:hAnsi="宋体" w:cs="Arial" w:hint="eastAsia"/>
          <w:color w:val="333333"/>
          <w:kern w:val="0"/>
          <w:sz w:val="19"/>
          <w:szCs w:val="19"/>
        </w:rPr>
        <w:t>%，到如今在2</w:t>
      </w:r>
      <w:r>
        <w:rPr>
          <w:rFonts w:ascii="宋体" w:eastAsia="宋体" w:hAnsi="宋体" w:cs="Arial"/>
          <w:color w:val="333333"/>
          <w:kern w:val="0"/>
          <w:sz w:val="19"/>
          <w:szCs w:val="19"/>
        </w:rPr>
        <w:t>0</w:t>
      </w:r>
      <w:r>
        <w:rPr>
          <w:rFonts w:ascii="宋体" w:eastAsia="宋体" w:hAnsi="宋体" w:cs="Arial" w:hint="eastAsia"/>
          <w:color w:val="333333"/>
          <w:kern w:val="0"/>
          <w:sz w:val="19"/>
          <w:szCs w:val="19"/>
        </w:rPr>
        <w:t>%上下起伏。加州对于天然气的需求并没有那么强，并且从数据中分析，近些年来较为稳定，在2</w:t>
      </w:r>
      <w:r>
        <w:rPr>
          <w:rFonts w:ascii="宋体" w:eastAsia="宋体" w:hAnsi="宋体" w:cs="Arial"/>
          <w:color w:val="333333"/>
          <w:kern w:val="0"/>
          <w:sz w:val="19"/>
          <w:szCs w:val="19"/>
        </w:rPr>
        <w:t>0</w:t>
      </w:r>
      <w:r>
        <w:rPr>
          <w:rFonts w:ascii="宋体" w:eastAsia="宋体" w:hAnsi="宋体" w:cs="Arial" w:hint="eastAsia"/>
          <w:color w:val="333333"/>
          <w:kern w:val="0"/>
          <w:sz w:val="19"/>
          <w:szCs w:val="19"/>
        </w:rPr>
        <w:t>%左右。</w:t>
      </w:r>
      <w:r w:rsidR="007D4786">
        <w:rPr>
          <w:rFonts w:ascii="宋体" w:eastAsia="宋体" w:hAnsi="宋体" w:cs="Arial" w:hint="eastAsia"/>
          <w:color w:val="333333"/>
          <w:kern w:val="0"/>
          <w:sz w:val="19"/>
          <w:szCs w:val="19"/>
        </w:rPr>
        <w:t>居住部门的天然气使用</w:t>
      </w:r>
      <w:r w:rsidR="00AD323C">
        <w:rPr>
          <w:rFonts w:ascii="宋体" w:eastAsia="宋体" w:hAnsi="宋体" w:cs="Arial" w:hint="eastAsia"/>
          <w:color w:val="333333"/>
          <w:kern w:val="0"/>
          <w:sz w:val="19"/>
          <w:szCs w:val="19"/>
        </w:rPr>
        <w:t>在</w:t>
      </w:r>
      <w:r w:rsidR="007D4786">
        <w:rPr>
          <w:rFonts w:ascii="宋体" w:eastAsia="宋体" w:hAnsi="宋体" w:cs="Arial" w:hint="eastAsia"/>
          <w:color w:val="333333"/>
          <w:kern w:val="0"/>
          <w:sz w:val="19"/>
          <w:szCs w:val="19"/>
        </w:rPr>
        <w:t>5</w:t>
      </w:r>
      <w:r w:rsidR="007D4786">
        <w:rPr>
          <w:rFonts w:ascii="宋体" w:eastAsia="宋体" w:hAnsi="宋体" w:cs="Arial"/>
          <w:color w:val="333333"/>
          <w:kern w:val="0"/>
          <w:sz w:val="19"/>
          <w:szCs w:val="19"/>
        </w:rPr>
        <w:t>0</w:t>
      </w:r>
      <w:r w:rsidR="007D4786">
        <w:rPr>
          <w:rFonts w:ascii="宋体" w:eastAsia="宋体" w:hAnsi="宋体" w:cs="Arial" w:hint="eastAsia"/>
          <w:color w:val="333333"/>
          <w:kern w:val="0"/>
          <w:sz w:val="19"/>
          <w:szCs w:val="19"/>
        </w:rPr>
        <w:t>年间连续下降，由8</w:t>
      </w:r>
      <w:r w:rsidR="007D4786">
        <w:rPr>
          <w:rFonts w:ascii="宋体" w:eastAsia="宋体" w:hAnsi="宋体" w:cs="Arial"/>
          <w:color w:val="333333"/>
          <w:kern w:val="0"/>
          <w:sz w:val="19"/>
          <w:szCs w:val="19"/>
        </w:rPr>
        <w:t>0</w:t>
      </w:r>
      <w:r w:rsidR="007D4786">
        <w:rPr>
          <w:rFonts w:ascii="宋体" w:eastAsia="宋体" w:hAnsi="宋体" w:cs="Arial" w:hint="eastAsia"/>
          <w:color w:val="333333"/>
          <w:kern w:val="0"/>
          <w:sz w:val="19"/>
          <w:szCs w:val="19"/>
        </w:rPr>
        <w:t>%至</w:t>
      </w:r>
      <w:r w:rsidR="007D4786">
        <w:rPr>
          <w:rFonts w:ascii="宋体" w:eastAsia="宋体" w:hAnsi="宋体" w:cs="Arial"/>
          <w:color w:val="333333"/>
          <w:kern w:val="0"/>
          <w:sz w:val="19"/>
          <w:szCs w:val="19"/>
        </w:rPr>
        <w:t>45</w:t>
      </w:r>
      <w:r w:rsidR="007D4786">
        <w:rPr>
          <w:rFonts w:ascii="宋体" w:eastAsia="宋体" w:hAnsi="宋体" w:cs="Arial" w:hint="eastAsia"/>
          <w:color w:val="333333"/>
          <w:kern w:val="0"/>
          <w:sz w:val="19"/>
          <w:szCs w:val="19"/>
        </w:rPr>
        <w:t>%左右</w:t>
      </w:r>
      <w:r w:rsidR="00AD323C">
        <w:rPr>
          <w:rFonts w:ascii="宋体" w:eastAsia="宋体" w:hAnsi="宋体" w:cs="Arial" w:hint="eastAsia"/>
          <w:color w:val="333333"/>
          <w:kern w:val="0"/>
          <w:sz w:val="19"/>
          <w:szCs w:val="19"/>
        </w:rPr>
        <w:t>。在商业部门中也是如此，在七十年代上升至7</w:t>
      </w:r>
      <w:r w:rsidR="00AD323C">
        <w:rPr>
          <w:rFonts w:ascii="宋体" w:eastAsia="宋体" w:hAnsi="宋体" w:cs="Arial"/>
          <w:color w:val="333333"/>
          <w:kern w:val="0"/>
          <w:sz w:val="19"/>
          <w:szCs w:val="19"/>
        </w:rPr>
        <w:t>0</w:t>
      </w:r>
      <w:r w:rsidR="00AD323C">
        <w:rPr>
          <w:rFonts w:ascii="宋体" w:eastAsia="宋体" w:hAnsi="宋体" w:cs="Arial" w:hint="eastAsia"/>
          <w:color w:val="333333"/>
          <w:kern w:val="0"/>
          <w:sz w:val="19"/>
          <w:szCs w:val="19"/>
        </w:rPr>
        <w:t>%后开始了连续下降，在2</w:t>
      </w:r>
      <w:r w:rsidR="00AD323C">
        <w:rPr>
          <w:rFonts w:ascii="宋体" w:eastAsia="宋体" w:hAnsi="宋体" w:cs="Arial"/>
          <w:color w:val="333333"/>
          <w:kern w:val="0"/>
          <w:sz w:val="19"/>
          <w:szCs w:val="19"/>
        </w:rPr>
        <w:t>009</w:t>
      </w:r>
      <w:r w:rsidR="00AD323C">
        <w:rPr>
          <w:rFonts w:ascii="宋体" w:eastAsia="宋体" w:hAnsi="宋体" w:cs="Arial" w:hint="eastAsia"/>
          <w:color w:val="333333"/>
          <w:kern w:val="0"/>
          <w:sz w:val="19"/>
          <w:szCs w:val="19"/>
        </w:rPr>
        <w:t>达到了2</w:t>
      </w:r>
      <w:r w:rsidR="00AD323C">
        <w:rPr>
          <w:rFonts w:ascii="宋体" w:eastAsia="宋体" w:hAnsi="宋体" w:cs="Arial"/>
          <w:color w:val="333333"/>
          <w:kern w:val="0"/>
          <w:sz w:val="19"/>
          <w:szCs w:val="19"/>
        </w:rPr>
        <w:t>5</w:t>
      </w:r>
      <w:r w:rsidR="00AD323C">
        <w:rPr>
          <w:rFonts w:ascii="宋体" w:eastAsia="宋体" w:hAnsi="宋体" w:cs="Arial" w:hint="eastAsia"/>
          <w:color w:val="333333"/>
          <w:kern w:val="0"/>
          <w:sz w:val="19"/>
          <w:szCs w:val="19"/>
        </w:rPr>
        <w:t>%。与前面的不同，工业部门似乎把天然气认为是石油的替代品，经历了7</w:t>
      </w:r>
      <w:r w:rsidR="00AD323C">
        <w:rPr>
          <w:rFonts w:ascii="宋体" w:eastAsia="宋体" w:hAnsi="宋体" w:cs="Arial"/>
          <w:color w:val="333333"/>
          <w:kern w:val="0"/>
          <w:sz w:val="19"/>
          <w:szCs w:val="19"/>
        </w:rPr>
        <w:t>0</w:t>
      </w:r>
      <w:r w:rsidR="00AD323C">
        <w:rPr>
          <w:rFonts w:ascii="宋体" w:eastAsia="宋体" w:hAnsi="宋体" w:cs="Arial" w:hint="eastAsia"/>
          <w:color w:val="333333"/>
          <w:kern w:val="0"/>
          <w:sz w:val="19"/>
          <w:szCs w:val="19"/>
        </w:rPr>
        <w:t>年代的下降后，从八十年代中期在波动中上升，达到了4</w:t>
      </w:r>
      <w:r w:rsidR="00AD323C">
        <w:rPr>
          <w:rFonts w:ascii="宋体" w:eastAsia="宋体" w:hAnsi="宋体" w:cs="Arial"/>
          <w:color w:val="333333"/>
          <w:kern w:val="0"/>
          <w:sz w:val="19"/>
          <w:szCs w:val="19"/>
        </w:rPr>
        <w:t>7</w:t>
      </w:r>
      <w:r w:rsidR="00AD323C">
        <w:rPr>
          <w:rFonts w:ascii="宋体" w:eastAsia="宋体" w:hAnsi="宋体" w:cs="Arial" w:hint="eastAsia"/>
          <w:color w:val="333333"/>
          <w:kern w:val="0"/>
          <w:sz w:val="19"/>
          <w:szCs w:val="19"/>
        </w:rPr>
        <w:t>%的份额，并且还有继续上升的态势。</w:t>
      </w:r>
    </w:p>
    <w:p w14:paraId="59DBB580" w14:textId="5CCEDE64" w:rsidR="00AD323C" w:rsidRPr="00AD323C" w:rsidRDefault="007751A0" w:rsidP="00AD323C">
      <w:pPr>
        <w:pStyle w:val="HTML"/>
        <w:shd w:val="clear" w:color="auto" w:fill="FFFFFF"/>
        <w:rPr>
          <w:rFonts w:ascii="inherit" w:eastAsia="宋体" w:hAnsi="inherit" w:cs="宋体"/>
          <w:color w:val="212121"/>
          <w:kern w:val="0"/>
          <w:sz w:val="24"/>
          <w:szCs w:val="24"/>
        </w:rPr>
      </w:pPr>
      <w:r w:rsidRPr="007751A0">
        <w:rPr>
          <w:rFonts w:ascii="Arial" w:eastAsia="宋体" w:hAnsi="Arial" w:cs="Arial"/>
          <w:color w:val="333333"/>
          <w:kern w:val="0"/>
          <w:sz w:val="19"/>
          <w:szCs w:val="19"/>
        </w:rPr>
        <w:t>California accounts for less than 1% of total U.S. natural gas reserves and production.</w:t>
      </w:r>
      <w:r w:rsidR="00AD323C" w:rsidRPr="00AD323C">
        <w:rPr>
          <w:rFonts w:ascii="inherit" w:eastAsia="宋体" w:hAnsi="inherit" w:cs="宋体"/>
          <w:color w:val="212121"/>
          <w:kern w:val="0"/>
          <w:sz w:val="24"/>
          <w:szCs w:val="24"/>
          <w:lang w:val="en"/>
        </w:rPr>
        <w:t xml:space="preserve"> </w:t>
      </w:r>
      <w:r w:rsidR="00AD323C" w:rsidRPr="00AD323C">
        <w:rPr>
          <w:rFonts w:ascii="inherit" w:eastAsia="宋体" w:hAnsi="inherit" w:cs="宋体"/>
          <w:color w:val="212121"/>
          <w:kern w:val="0"/>
          <w:sz w:val="24"/>
          <w:szCs w:val="24"/>
          <w:lang w:val="en"/>
        </w:rPr>
        <w:t>After the 1970s, California's natural gas production experienced a gradual and complete decline over the past 30 years. From 30% in the 1960s and now up and down at 20%. The demand for natural gas in California is not so strong, and from the data analysis, it has been relatively stable at about 20% in recent years. The use of natural gas in the dwelling sector has dropped continuously from 80% to 45% in 50 years. The same is true of the commercial sector, which started to decline continuously after rising to 70% in the 1970s and reached 25% in 2009. Contrary to the previous one, the industrial sector seems to consider natural gas as a substitute for petroleum. After a decline in the 1970s, it rose from fluctuations in the mid-1980s to a 47% share and is still on the rise.</w:t>
      </w:r>
    </w:p>
    <w:p w14:paraId="7962E8D0" w14:textId="711D84F7" w:rsidR="004D7D40" w:rsidRPr="002843A4" w:rsidRDefault="002843A4" w:rsidP="004D7D40">
      <w:pPr>
        <w:widowControl/>
        <w:shd w:val="clear" w:color="auto" w:fill="FFFFFF"/>
        <w:spacing w:after="240"/>
        <w:jc w:val="left"/>
        <w:textAlignment w:val="baseline"/>
        <w:rPr>
          <w:rFonts w:ascii="Arial" w:eastAsia="宋体" w:hAnsi="Arial" w:cs="Arial"/>
          <w:color w:val="000000" w:themeColor="text1"/>
          <w:kern w:val="0"/>
          <w:sz w:val="19"/>
          <w:szCs w:val="19"/>
        </w:rPr>
      </w:pPr>
      <w:r w:rsidRPr="002843A4">
        <w:rPr>
          <w:rFonts w:ascii="Arial" w:eastAsia="宋体" w:hAnsi="Arial" w:cs="Arial"/>
          <w:noProof/>
          <w:color w:val="000000" w:themeColor="text1"/>
          <w:kern w:val="0"/>
          <w:sz w:val="19"/>
          <w:szCs w:val="19"/>
        </w:rPr>
        <mc:AlternateContent>
          <mc:Choice Requires="wps">
            <w:drawing>
              <wp:anchor distT="0" distB="0" distL="114300" distR="114300" simplePos="0" relativeHeight="251659264" behindDoc="0" locked="0" layoutInCell="1" allowOverlap="1" wp14:anchorId="1482EBCC" wp14:editId="7467744F">
                <wp:simplePos x="0" y="0"/>
                <wp:positionH relativeFrom="column">
                  <wp:posOffset>-38101</wp:posOffset>
                </wp:positionH>
                <wp:positionV relativeFrom="paragraph">
                  <wp:posOffset>175260</wp:posOffset>
                </wp:positionV>
                <wp:extent cx="5343525"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A95168"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pt,13.8pt" to="417.7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5UxwEAAMADAAAOAAAAZHJzL2Uyb0RvYy54bWysU0uOEzEQ3SNxB8t70p0MQaiVzixmBBsE&#10;EZ8DeNzltCX/VDbpziW4ABI7WLFkz22YOQZlJ+lBzEgIxKbaZderqveqenU+WsN2gFF71/L5rOYM&#10;nPSddtuWv3v77NFTzmISrhPGO2j5HiI/Xz98sBpCAwvfe9MBMkriYjOElvcphaaqouzBijjzARw9&#10;Ko9WJHJxW3UoBspuTbWo6yfV4LEL6CXESLeXh0e+LvmVApleKRUhMdNy6i0Vi8VeZVutV6LZogi9&#10;lsc2xD90YYV2VHRKdSmSYO9R30lltUQfvUoz6W3lldISCgdiM69/Y/OmFwEKFxInhkmm+P/Sype7&#10;DTLd0ew4c8LSiK4/fvvx4fPN909kr79+YfMs0hBiQ7EXboNHL4YNZsajQpu/xIWNRdj9JCyMiUm6&#10;XJ49PlsulpzJ01t1CwwY03PwluVDy412mbNoxO5FTFSMQk8h5ORGDqXLKe0N5GDjXoMiHlRsXtBl&#10;g+DCINsJmr2QElwqVChfic4wpY2ZgPWfgcf4DIWyXX8DnhClsndpAlvtPN5XPY2nltUh/qTAgXeW&#10;4Mp3+zKUIg2tSVHsuNJ5D3/1C/z2x1v/BAAA//8DAFBLAwQUAAYACAAAACEAehzF198AAAAIAQAA&#10;DwAAAGRycy9kb3ducmV2LnhtbEyPQUvDQBCF74L/YRnBW7sx0lhiNqUUxFqQYhXqcZsdk2h2Nuxu&#10;m/TfO+JBj2/e8N73isVoO3FCH1pHCm6mCQikypmWagVvrw+TOYgQNRndOUIFZwywKC8vCp0bN9AL&#10;nnaxFhxCIdcKmhj7XMpQNWh1mLoeib0P562OLH0tjdcDh9tOpkmSSatb4oZG97hqsPraHa2CZ79e&#10;r5ab8ydt3+2wTzf77dP4qNT11bi8BxFxjH/P8IPP6FAy08EdyQTRKZhkPCUqSO8yEOzPb2czEIff&#10;gywL+X9A+Q0AAP//AwBQSwECLQAUAAYACAAAACEAtoM4kv4AAADhAQAAEwAAAAAAAAAAAAAAAAAA&#10;AAAAW0NvbnRlbnRfVHlwZXNdLnhtbFBLAQItABQABgAIAAAAIQA4/SH/1gAAAJQBAAALAAAAAAAA&#10;AAAAAAAAAC8BAABfcmVscy8ucmVsc1BLAQItABQABgAIAAAAIQCpG05UxwEAAMADAAAOAAAAAAAA&#10;AAAAAAAAAC4CAABkcnMvZTJvRG9jLnhtbFBLAQItABQABgAIAAAAIQB6HMXX3wAAAAgBAAAPAAAA&#10;AAAAAAAAAAAAACEEAABkcnMvZG93bnJldi54bWxQSwUGAAAAAAQABADzAAAALQUAAAAA&#10;" strokecolor="#4472c4 [3204]" strokeweight=".5pt">
                <v:stroke joinstyle="miter"/>
              </v:line>
            </w:pict>
          </mc:Fallback>
        </mc:AlternateContent>
      </w:r>
    </w:p>
    <w:p w14:paraId="6774EB97" w14:textId="030F34A2" w:rsidR="004D7D40" w:rsidRPr="004D7D40" w:rsidRDefault="004D7D40" w:rsidP="004D7D40">
      <w:pPr>
        <w:widowControl/>
        <w:shd w:val="clear" w:color="auto" w:fill="FFFFFF"/>
        <w:spacing w:after="240"/>
        <w:jc w:val="left"/>
        <w:textAlignment w:val="baseline"/>
        <w:rPr>
          <w:rFonts w:ascii="Arial" w:eastAsia="宋体" w:hAnsi="Arial" w:cs="Arial"/>
          <w:color w:val="333333"/>
          <w:kern w:val="0"/>
          <w:sz w:val="19"/>
          <w:szCs w:val="19"/>
        </w:rPr>
      </w:pPr>
      <w:r w:rsidRPr="004D7D40">
        <w:rPr>
          <w:rFonts w:ascii="Arial" w:eastAsia="宋体" w:hAnsi="Arial" w:cs="Arial"/>
          <w:color w:val="333333"/>
          <w:kern w:val="0"/>
          <w:sz w:val="19"/>
          <w:szCs w:val="19"/>
        </w:rPr>
        <w:t>Renewable energy</w:t>
      </w:r>
    </w:p>
    <w:p w14:paraId="615D35D0" w14:textId="19E1DED8" w:rsidR="004D7D40" w:rsidRPr="004D7D40" w:rsidRDefault="004D7D40" w:rsidP="004D7D40">
      <w:pPr>
        <w:widowControl/>
        <w:shd w:val="clear" w:color="auto" w:fill="FFFFFF"/>
        <w:spacing w:after="240"/>
        <w:jc w:val="left"/>
        <w:textAlignment w:val="baseline"/>
        <w:rPr>
          <w:rFonts w:ascii="Arial" w:eastAsia="宋体" w:hAnsi="Arial" w:cs="Arial" w:hint="eastAsia"/>
          <w:color w:val="333333"/>
          <w:kern w:val="0"/>
          <w:sz w:val="19"/>
          <w:szCs w:val="19"/>
        </w:rPr>
      </w:pPr>
      <w:r w:rsidRPr="004D7D40">
        <w:rPr>
          <w:rFonts w:ascii="Arial" w:eastAsia="宋体" w:hAnsi="Arial" w:cs="Arial"/>
          <w:color w:val="333333"/>
          <w:kern w:val="0"/>
          <w:sz w:val="19"/>
          <w:szCs w:val="19"/>
        </w:rPr>
        <w:t>加利福尼亚州是可再生资源发电的国家之首，并从太阳能，地热能和生物质能领先全国。加利福尼亚州也是全美第三大传统水力发电厂，也是第五大风力发电厂</w:t>
      </w:r>
      <w:r w:rsidR="002843A4">
        <w:rPr>
          <w:rFonts w:ascii="Arial" w:eastAsia="宋体" w:hAnsi="Arial" w:cs="Arial" w:hint="eastAsia"/>
          <w:color w:val="333333"/>
          <w:kern w:val="0"/>
          <w:sz w:val="19"/>
          <w:szCs w:val="19"/>
        </w:rPr>
        <w:t>。随着科学技术的发展，</w:t>
      </w:r>
      <w:r w:rsidR="0090557D">
        <w:rPr>
          <w:rFonts w:ascii="Arial" w:eastAsia="宋体" w:hAnsi="Arial" w:cs="Arial" w:hint="eastAsia"/>
          <w:color w:val="333333"/>
          <w:kern w:val="0"/>
          <w:sz w:val="19"/>
          <w:szCs w:val="19"/>
        </w:rPr>
        <w:t>可再生能源的比列在总能源消耗中缓慢稳定的上升。这一点在居住行业和商业中</w:t>
      </w:r>
      <w:r w:rsidR="00542D37">
        <w:rPr>
          <w:rFonts w:ascii="Arial" w:eastAsia="宋体" w:hAnsi="Arial" w:cs="Arial" w:hint="eastAsia"/>
          <w:color w:val="333333"/>
          <w:kern w:val="0"/>
          <w:sz w:val="19"/>
          <w:szCs w:val="19"/>
        </w:rPr>
        <w:t>体现的较为明显，</w:t>
      </w:r>
      <w:r w:rsidR="00684B40">
        <w:rPr>
          <w:rFonts w:ascii="Arial" w:eastAsia="宋体" w:hAnsi="Arial" w:cs="Arial" w:hint="eastAsia"/>
          <w:color w:val="333333"/>
          <w:kern w:val="0"/>
          <w:sz w:val="19"/>
          <w:szCs w:val="19"/>
        </w:rPr>
        <w:t>五十年来不断上升</w:t>
      </w:r>
      <w:r w:rsidR="00CA5A08">
        <w:rPr>
          <w:rFonts w:ascii="Arial" w:eastAsia="宋体" w:hAnsi="Arial" w:cs="Arial" w:hint="eastAsia"/>
          <w:color w:val="333333"/>
          <w:kern w:val="0"/>
          <w:sz w:val="19"/>
          <w:szCs w:val="19"/>
        </w:rPr>
        <w:t>。居住行业中，</w:t>
      </w:r>
      <w:r w:rsidR="005E6540">
        <w:rPr>
          <w:rFonts w:ascii="Arial" w:eastAsia="宋体" w:hAnsi="Arial" w:cs="Arial" w:hint="eastAsia"/>
          <w:color w:val="333333"/>
          <w:kern w:val="0"/>
          <w:sz w:val="19"/>
          <w:szCs w:val="19"/>
        </w:rPr>
        <w:t>占比由</w:t>
      </w:r>
      <w:r w:rsidR="005E6540">
        <w:rPr>
          <w:rFonts w:ascii="Arial" w:eastAsia="宋体" w:hAnsi="Arial" w:cs="Arial" w:hint="eastAsia"/>
          <w:color w:val="333333"/>
          <w:kern w:val="0"/>
          <w:sz w:val="19"/>
          <w:szCs w:val="19"/>
        </w:rPr>
        <w:t>8%</w:t>
      </w:r>
      <w:r w:rsidR="005E6540">
        <w:rPr>
          <w:rFonts w:ascii="Arial" w:eastAsia="宋体" w:hAnsi="Arial" w:cs="Arial" w:hint="eastAsia"/>
          <w:color w:val="333333"/>
          <w:kern w:val="0"/>
          <w:sz w:val="19"/>
          <w:szCs w:val="19"/>
        </w:rPr>
        <w:t>上升至</w:t>
      </w:r>
      <w:r w:rsidR="005E6540">
        <w:rPr>
          <w:rFonts w:ascii="Arial" w:eastAsia="宋体" w:hAnsi="Arial" w:cs="Arial" w:hint="eastAsia"/>
          <w:color w:val="333333"/>
          <w:kern w:val="0"/>
          <w:sz w:val="19"/>
          <w:szCs w:val="19"/>
        </w:rPr>
        <w:t>1</w:t>
      </w:r>
      <w:r w:rsidR="005E6540">
        <w:rPr>
          <w:rFonts w:ascii="Arial" w:eastAsia="宋体" w:hAnsi="Arial" w:cs="Arial"/>
          <w:color w:val="333333"/>
          <w:kern w:val="0"/>
          <w:sz w:val="19"/>
          <w:szCs w:val="19"/>
        </w:rPr>
        <w:t>7</w:t>
      </w:r>
      <w:r w:rsidR="005E6540">
        <w:rPr>
          <w:rFonts w:ascii="Arial" w:eastAsia="宋体" w:hAnsi="Arial" w:cs="Arial" w:hint="eastAsia"/>
          <w:color w:val="333333"/>
          <w:kern w:val="0"/>
          <w:sz w:val="19"/>
          <w:szCs w:val="19"/>
        </w:rPr>
        <w:t>%</w:t>
      </w:r>
      <w:r w:rsidR="005E6540">
        <w:rPr>
          <w:rFonts w:ascii="Arial" w:eastAsia="宋体" w:hAnsi="Arial" w:cs="Arial" w:hint="eastAsia"/>
          <w:color w:val="333333"/>
          <w:kern w:val="0"/>
          <w:sz w:val="19"/>
          <w:szCs w:val="19"/>
        </w:rPr>
        <w:t>，在商业中，</w:t>
      </w:r>
      <w:r w:rsidR="00AC5963">
        <w:rPr>
          <w:rFonts w:ascii="Arial" w:eastAsia="宋体" w:hAnsi="Arial" w:cs="Arial" w:hint="eastAsia"/>
          <w:color w:val="333333"/>
          <w:kern w:val="0"/>
          <w:sz w:val="19"/>
          <w:szCs w:val="19"/>
        </w:rPr>
        <w:t>由</w:t>
      </w:r>
      <w:r w:rsidR="005E6540">
        <w:rPr>
          <w:rFonts w:ascii="Arial" w:eastAsia="宋体" w:hAnsi="Arial" w:cs="Arial" w:hint="eastAsia"/>
          <w:color w:val="333333"/>
          <w:kern w:val="0"/>
          <w:sz w:val="19"/>
          <w:szCs w:val="19"/>
        </w:rPr>
        <w:t>1</w:t>
      </w:r>
      <w:r w:rsidR="005E6540">
        <w:rPr>
          <w:rFonts w:ascii="Arial" w:eastAsia="宋体" w:hAnsi="Arial" w:cs="Arial"/>
          <w:color w:val="333333"/>
          <w:kern w:val="0"/>
          <w:sz w:val="19"/>
          <w:szCs w:val="19"/>
        </w:rPr>
        <w:t>2</w:t>
      </w:r>
      <w:r w:rsidR="00AC5963">
        <w:rPr>
          <w:rFonts w:ascii="Arial" w:eastAsia="宋体" w:hAnsi="Arial" w:cs="Arial" w:hint="eastAsia"/>
          <w:color w:val="333333"/>
          <w:kern w:val="0"/>
          <w:sz w:val="19"/>
          <w:szCs w:val="19"/>
        </w:rPr>
        <w:t>%</w:t>
      </w:r>
      <w:r w:rsidR="00AC5963">
        <w:rPr>
          <w:rFonts w:ascii="Arial" w:eastAsia="宋体" w:hAnsi="Arial" w:cs="Arial" w:hint="eastAsia"/>
          <w:color w:val="333333"/>
          <w:kern w:val="0"/>
          <w:sz w:val="19"/>
          <w:szCs w:val="19"/>
        </w:rPr>
        <w:t>上升至</w:t>
      </w:r>
      <w:r w:rsidR="00AC5963">
        <w:rPr>
          <w:rFonts w:ascii="Arial" w:eastAsia="宋体" w:hAnsi="Arial" w:cs="Arial" w:hint="eastAsia"/>
          <w:color w:val="333333"/>
          <w:kern w:val="0"/>
          <w:sz w:val="19"/>
          <w:szCs w:val="19"/>
        </w:rPr>
        <w:t>2</w:t>
      </w:r>
      <w:r w:rsidR="00AC5963">
        <w:rPr>
          <w:rFonts w:ascii="Arial" w:eastAsia="宋体" w:hAnsi="Arial" w:cs="Arial"/>
          <w:color w:val="333333"/>
          <w:kern w:val="0"/>
          <w:sz w:val="19"/>
          <w:szCs w:val="19"/>
        </w:rPr>
        <w:t>3</w:t>
      </w:r>
      <w:r w:rsidR="00AC5963">
        <w:rPr>
          <w:rFonts w:ascii="Arial" w:eastAsia="宋体" w:hAnsi="Arial" w:cs="Arial" w:hint="eastAsia"/>
          <w:color w:val="333333"/>
          <w:kern w:val="0"/>
          <w:sz w:val="19"/>
          <w:szCs w:val="19"/>
        </w:rPr>
        <w:t>%</w:t>
      </w:r>
      <w:r w:rsidR="00AC5963">
        <w:rPr>
          <w:rFonts w:ascii="Arial" w:eastAsia="宋体" w:hAnsi="Arial" w:cs="Arial" w:hint="eastAsia"/>
          <w:color w:val="333333"/>
          <w:kern w:val="0"/>
          <w:sz w:val="19"/>
          <w:szCs w:val="19"/>
        </w:rPr>
        <w:t>，但由近几年的图表显示，上升的速度在不断地下滑。而在工业中，由于石油危机导致在近五十年中再生能源的占比是最高的，而七十年代后占比不断下降，</w:t>
      </w:r>
      <w:r w:rsidR="00AC5963">
        <w:rPr>
          <w:rFonts w:ascii="Arial" w:eastAsia="宋体" w:hAnsi="Arial" w:cs="Arial" w:hint="eastAsia"/>
          <w:color w:val="333333"/>
          <w:kern w:val="0"/>
          <w:sz w:val="19"/>
          <w:szCs w:val="19"/>
        </w:rPr>
        <w:t>2</w:t>
      </w:r>
      <w:r w:rsidR="00AC5963">
        <w:rPr>
          <w:rFonts w:ascii="Arial" w:eastAsia="宋体" w:hAnsi="Arial" w:cs="Arial"/>
          <w:color w:val="333333"/>
          <w:kern w:val="0"/>
          <w:sz w:val="19"/>
          <w:szCs w:val="19"/>
        </w:rPr>
        <w:t>000</w:t>
      </w:r>
      <w:r w:rsidR="00AC5963">
        <w:rPr>
          <w:rFonts w:ascii="Arial" w:eastAsia="宋体" w:hAnsi="Arial" w:cs="Arial" w:hint="eastAsia"/>
          <w:color w:val="333333"/>
          <w:kern w:val="0"/>
          <w:sz w:val="19"/>
          <w:szCs w:val="19"/>
        </w:rPr>
        <w:t>年至</w:t>
      </w:r>
      <w:r w:rsidR="00AC5963">
        <w:rPr>
          <w:rFonts w:ascii="Arial" w:eastAsia="宋体" w:hAnsi="Arial" w:cs="Arial" w:hint="eastAsia"/>
          <w:color w:val="333333"/>
          <w:kern w:val="0"/>
          <w:sz w:val="19"/>
          <w:szCs w:val="19"/>
        </w:rPr>
        <w:t>2</w:t>
      </w:r>
      <w:r w:rsidR="00AC5963">
        <w:rPr>
          <w:rFonts w:ascii="Arial" w:eastAsia="宋体" w:hAnsi="Arial" w:cs="Arial"/>
          <w:color w:val="333333"/>
          <w:kern w:val="0"/>
          <w:sz w:val="19"/>
          <w:szCs w:val="19"/>
        </w:rPr>
        <w:t>009</w:t>
      </w:r>
      <w:r w:rsidR="00AC5963">
        <w:rPr>
          <w:rFonts w:ascii="Arial" w:eastAsia="宋体" w:hAnsi="Arial" w:cs="Arial" w:hint="eastAsia"/>
          <w:color w:val="333333"/>
          <w:kern w:val="0"/>
          <w:sz w:val="19"/>
          <w:szCs w:val="19"/>
        </w:rPr>
        <w:t>年略显回升态势。</w:t>
      </w:r>
    </w:p>
    <w:p w14:paraId="51951907" w14:textId="77777777" w:rsidR="00AC5963" w:rsidRDefault="004D7D40" w:rsidP="00AC5963">
      <w:pPr>
        <w:widowControl/>
        <w:spacing w:after="240"/>
        <w:jc w:val="left"/>
        <w:textAlignment w:val="baseline"/>
        <w:rPr>
          <w:rFonts w:ascii="Arial" w:eastAsia="宋体" w:hAnsi="Arial" w:cs="Arial"/>
          <w:color w:val="333333"/>
          <w:kern w:val="0"/>
          <w:sz w:val="19"/>
          <w:szCs w:val="19"/>
        </w:rPr>
      </w:pPr>
      <w:r w:rsidRPr="004D7D40">
        <w:rPr>
          <w:rFonts w:ascii="Arial" w:eastAsia="宋体" w:hAnsi="Arial" w:cs="Arial"/>
          <w:color w:val="333333"/>
          <w:kern w:val="0"/>
          <w:sz w:val="19"/>
          <w:szCs w:val="19"/>
        </w:rPr>
        <w:t>California is among the top states in the nation in electricity generation from renewable</w:t>
      </w:r>
      <w:r w:rsidRPr="004D7D40">
        <w:rPr>
          <w:rFonts w:ascii="Arial" w:eastAsia="宋体" w:hAnsi="Arial" w:cs="Arial"/>
          <w:b/>
          <w:color w:val="333333"/>
          <w:kern w:val="0"/>
          <w:sz w:val="19"/>
          <w:szCs w:val="19"/>
        </w:rPr>
        <w:t xml:space="preserve"> resources</w:t>
      </w:r>
      <w:r w:rsidRPr="004D7D40">
        <w:rPr>
          <w:rFonts w:ascii="Arial" w:eastAsia="宋体" w:hAnsi="Arial" w:cs="Arial"/>
          <w:color w:val="333333"/>
          <w:kern w:val="0"/>
          <w:sz w:val="19"/>
          <w:szCs w:val="19"/>
        </w:rPr>
        <w:t xml:space="preserve"> and leads the nation in generation from solar, geothermal, and biomass energy. California is also the nation's third-largest producer of electricity from conventional hydroelectric power and the fifth-largest producer from wind energy.</w:t>
      </w:r>
      <w:r>
        <w:rPr>
          <w:rFonts w:ascii="Arial" w:eastAsia="宋体" w:hAnsi="Arial" w:cs="Arial"/>
          <w:color w:val="333333"/>
          <w:kern w:val="0"/>
          <w:sz w:val="19"/>
          <w:szCs w:val="19"/>
        </w:rPr>
        <w:t xml:space="preserve"> </w:t>
      </w:r>
      <w:r w:rsidR="00AC5963" w:rsidRPr="00AC5963">
        <w:rPr>
          <w:rFonts w:ascii="Arial" w:eastAsia="宋体" w:hAnsi="Arial" w:cs="Arial"/>
          <w:color w:val="333333"/>
          <w:kern w:val="0"/>
          <w:sz w:val="19"/>
          <w:szCs w:val="19"/>
          <w:lang w:val="en"/>
        </w:rPr>
        <w:t>With the development of science and technology, the ratio of renewable energy sources shows a steady and steady rise in total energy consumption. This is evident in the residential and commercial sectors and has been rising for 50 years. In the residential sector, the share rose from 8% to 17% and in commerce from 12% to 23%, but the charts in recent years show that the rate of increase is declining steadily. In industry, however, the share of renewable energy in the last 50 years was the highest since the oil crisis, and the share of renewable energy declined after the 1970s, recovering slightly from 2000 to 2009.</w:t>
      </w:r>
    </w:p>
    <w:p w14:paraId="64F1DD9D" w14:textId="4651F79D" w:rsidR="00AC5963" w:rsidRPr="00AC5963" w:rsidRDefault="00AC5963" w:rsidP="00AC5963">
      <w:pPr>
        <w:widowControl/>
        <w:spacing w:after="240"/>
        <w:jc w:val="left"/>
        <w:textAlignment w:val="baseline"/>
        <w:rPr>
          <w:rFonts w:ascii="Arial" w:eastAsia="宋体" w:hAnsi="Arial" w:cs="Arial"/>
          <w:color w:val="333333"/>
          <w:kern w:val="0"/>
          <w:sz w:val="19"/>
          <w:szCs w:val="19"/>
        </w:rPr>
      </w:pPr>
      <w:r w:rsidRPr="00AC5963">
        <w:rPr>
          <w:rFonts w:ascii="Times New Roman" w:eastAsia="宋体" w:hAnsi="Times New Roman" w:cs="Times New Roman"/>
          <w:color w:val="333333"/>
          <w:kern w:val="0"/>
          <w:sz w:val="27"/>
          <w:szCs w:val="27"/>
        </w:rPr>
        <w:t>Coal</w:t>
      </w:r>
    </w:p>
    <w:p w14:paraId="00543B41" w14:textId="51577DB2" w:rsidR="00AC5963" w:rsidRDefault="00AC5963" w:rsidP="00AC5963">
      <w:pPr>
        <w:widowControl/>
        <w:shd w:val="clear" w:color="auto" w:fill="FFFFFF"/>
        <w:spacing w:after="240"/>
        <w:jc w:val="left"/>
        <w:textAlignment w:val="baseline"/>
        <w:rPr>
          <w:rFonts w:ascii="Arial" w:eastAsia="宋体" w:hAnsi="Arial" w:cs="Arial" w:hint="eastAsia"/>
          <w:color w:val="333333"/>
          <w:kern w:val="0"/>
          <w:sz w:val="19"/>
          <w:szCs w:val="19"/>
        </w:rPr>
      </w:pPr>
      <w:r w:rsidRPr="00AC5963">
        <w:rPr>
          <w:rFonts w:ascii="Arial" w:eastAsia="宋体" w:hAnsi="Arial" w:cs="Arial"/>
          <w:color w:val="333333"/>
          <w:kern w:val="0"/>
          <w:sz w:val="19"/>
          <w:szCs w:val="19"/>
        </w:rPr>
        <w:t>加利福尼亚州没有任何煤炭储量或生产，并已经逐步淘汰几乎所有用于发电的煤炭。</w:t>
      </w:r>
      <w:r>
        <w:rPr>
          <w:rFonts w:ascii="Arial" w:eastAsia="宋体" w:hAnsi="Arial" w:cs="Arial" w:hint="eastAsia"/>
          <w:color w:val="333333"/>
          <w:kern w:val="0"/>
          <w:sz w:val="19"/>
          <w:szCs w:val="19"/>
        </w:rPr>
        <w:t>从表中得知，加州对于煤炭的需求极低，在</w:t>
      </w:r>
      <w:r>
        <w:rPr>
          <w:rFonts w:ascii="Arial" w:eastAsia="宋体" w:hAnsi="Arial" w:cs="Arial" w:hint="eastAsia"/>
          <w:color w:val="333333"/>
          <w:kern w:val="0"/>
          <w:sz w:val="19"/>
          <w:szCs w:val="19"/>
        </w:rPr>
        <w:t>2</w:t>
      </w:r>
      <w:r>
        <w:rPr>
          <w:rFonts w:ascii="Arial" w:eastAsia="宋体" w:hAnsi="Arial" w:cs="Arial"/>
          <w:color w:val="333333"/>
          <w:kern w:val="0"/>
          <w:sz w:val="19"/>
          <w:szCs w:val="19"/>
        </w:rPr>
        <w:t>000</w:t>
      </w:r>
      <w:r>
        <w:rPr>
          <w:rFonts w:ascii="Arial" w:eastAsia="宋体" w:hAnsi="Arial" w:cs="Arial" w:hint="eastAsia"/>
          <w:color w:val="333333"/>
          <w:kern w:val="0"/>
          <w:sz w:val="19"/>
          <w:szCs w:val="19"/>
        </w:rPr>
        <w:t>~</w:t>
      </w:r>
      <w:r>
        <w:rPr>
          <w:rFonts w:ascii="Arial" w:eastAsia="宋体" w:hAnsi="Arial" w:cs="Arial"/>
          <w:color w:val="333333"/>
          <w:kern w:val="0"/>
          <w:sz w:val="19"/>
          <w:szCs w:val="19"/>
        </w:rPr>
        <w:t>2009</w:t>
      </w:r>
      <w:r>
        <w:rPr>
          <w:rFonts w:ascii="Arial" w:eastAsia="宋体" w:hAnsi="Arial" w:cs="Arial" w:hint="eastAsia"/>
          <w:color w:val="333333"/>
          <w:kern w:val="0"/>
          <w:sz w:val="19"/>
          <w:szCs w:val="19"/>
        </w:rPr>
        <w:t>年甚至已经低于对可再生能源的需求。无论在商业，运输行业，居住行业还是工业，都呈现出出来接近于</w:t>
      </w:r>
      <w:r>
        <w:rPr>
          <w:rFonts w:ascii="Arial" w:eastAsia="宋体" w:hAnsi="Arial" w:cs="Arial" w:hint="eastAsia"/>
          <w:color w:val="333333"/>
          <w:kern w:val="0"/>
          <w:sz w:val="19"/>
          <w:szCs w:val="19"/>
        </w:rPr>
        <w:t>0</w:t>
      </w:r>
      <w:r>
        <w:rPr>
          <w:rFonts w:ascii="Arial" w:eastAsia="宋体" w:hAnsi="Arial" w:cs="Arial" w:hint="eastAsia"/>
          <w:color w:val="333333"/>
          <w:kern w:val="0"/>
          <w:sz w:val="19"/>
          <w:szCs w:val="19"/>
        </w:rPr>
        <w:t>的极低的占比，并且没有继续升高的的态势。</w:t>
      </w:r>
    </w:p>
    <w:p w14:paraId="57D13A9E" w14:textId="10C2A681" w:rsidR="00AC5963" w:rsidRPr="00AC5963" w:rsidRDefault="00AC5963" w:rsidP="00AC5963">
      <w:pPr>
        <w:widowControl/>
        <w:spacing w:after="240"/>
        <w:jc w:val="left"/>
        <w:textAlignment w:val="baseline"/>
        <w:rPr>
          <w:rFonts w:ascii="Arial" w:eastAsia="宋体" w:hAnsi="Arial" w:cs="Arial"/>
          <w:color w:val="333333"/>
          <w:kern w:val="0"/>
          <w:sz w:val="19"/>
          <w:szCs w:val="19"/>
        </w:rPr>
      </w:pPr>
      <w:r w:rsidRPr="00AC5963">
        <w:rPr>
          <w:rFonts w:ascii="Arial" w:eastAsia="宋体" w:hAnsi="Arial" w:cs="Arial"/>
          <w:color w:val="333333"/>
          <w:kern w:val="0"/>
          <w:sz w:val="19"/>
          <w:szCs w:val="19"/>
        </w:rPr>
        <w:lastRenderedPageBreak/>
        <w:t>California does not have any coal reserves or production and has phased out almost all use of coal for electricity generation.</w:t>
      </w:r>
      <w:r w:rsidRPr="00AC5963">
        <w:rPr>
          <w:rFonts w:ascii="inherit" w:eastAsia="宋体" w:hAnsi="inherit" w:cs="宋体"/>
          <w:color w:val="212121"/>
          <w:kern w:val="0"/>
          <w:sz w:val="24"/>
          <w:szCs w:val="24"/>
          <w:lang w:val="en"/>
        </w:rPr>
        <w:t xml:space="preserve"> </w:t>
      </w:r>
      <w:r w:rsidRPr="00AC5963">
        <w:rPr>
          <w:rFonts w:ascii="Arial" w:eastAsia="宋体" w:hAnsi="Arial" w:cs="Arial"/>
          <w:color w:val="333333"/>
          <w:kern w:val="0"/>
          <w:sz w:val="19"/>
          <w:szCs w:val="19"/>
          <w:lang w:val="en"/>
        </w:rPr>
        <w:t>As you can see from the table, California's demand for coal is extremely low, even lower than the demand for renewable energy in 2000-2009. No matter in the commercial, transportation, residential or industrial sectors, there is an extremely low proportion of those coming out to zero and there is no continuing upward trend.</w:t>
      </w:r>
    </w:p>
    <w:p w14:paraId="2DCFBF4E" w14:textId="77F154EF" w:rsidR="00AC5963" w:rsidRPr="00AC5963" w:rsidRDefault="00AC5963" w:rsidP="00AC5963">
      <w:pPr>
        <w:widowControl/>
        <w:shd w:val="clear" w:color="auto" w:fill="FFFFFF"/>
        <w:spacing w:after="240"/>
        <w:jc w:val="left"/>
        <w:textAlignment w:val="baseline"/>
        <w:rPr>
          <w:rFonts w:ascii="Arial" w:eastAsia="宋体" w:hAnsi="Arial" w:cs="Arial"/>
          <w:color w:val="333333"/>
          <w:kern w:val="0"/>
          <w:sz w:val="19"/>
          <w:szCs w:val="19"/>
        </w:rPr>
      </w:pPr>
    </w:p>
    <w:p w14:paraId="733A67CB" w14:textId="5D0265F8" w:rsidR="004D7D40" w:rsidRPr="00AC5963" w:rsidRDefault="004D7D40" w:rsidP="004D7D40">
      <w:pPr>
        <w:widowControl/>
        <w:shd w:val="clear" w:color="auto" w:fill="FFFFFF"/>
        <w:spacing w:after="240"/>
        <w:jc w:val="left"/>
        <w:textAlignment w:val="baseline"/>
        <w:rPr>
          <w:rFonts w:ascii="Arial" w:eastAsia="宋体" w:hAnsi="Arial" w:cs="Arial"/>
          <w:color w:val="333333"/>
          <w:kern w:val="0"/>
          <w:sz w:val="19"/>
          <w:szCs w:val="19"/>
        </w:rPr>
      </w:pPr>
      <w:bookmarkStart w:id="0" w:name="_GoBack"/>
      <w:bookmarkEnd w:id="0"/>
    </w:p>
    <w:sectPr w:rsidR="004D7D40" w:rsidRPr="00AC59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2F617" w14:textId="77777777" w:rsidR="000214B2" w:rsidRDefault="000214B2" w:rsidP="0061728B">
      <w:r>
        <w:separator/>
      </w:r>
    </w:p>
  </w:endnote>
  <w:endnote w:type="continuationSeparator" w:id="0">
    <w:p w14:paraId="17EC8F32" w14:textId="77777777" w:rsidR="000214B2" w:rsidRDefault="000214B2" w:rsidP="00617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B687B" w14:textId="77777777" w:rsidR="000214B2" w:rsidRDefault="000214B2" w:rsidP="0061728B">
      <w:r>
        <w:separator/>
      </w:r>
    </w:p>
  </w:footnote>
  <w:footnote w:type="continuationSeparator" w:id="0">
    <w:p w14:paraId="2CC4A5BE" w14:textId="77777777" w:rsidR="000214B2" w:rsidRDefault="000214B2" w:rsidP="006172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87"/>
    <w:rsid w:val="000214B2"/>
    <w:rsid w:val="002843A4"/>
    <w:rsid w:val="002D47E8"/>
    <w:rsid w:val="003228F9"/>
    <w:rsid w:val="003263B9"/>
    <w:rsid w:val="003A2139"/>
    <w:rsid w:val="003D7987"/>
    <w:rsid w:val="0041767D"/>
    <w:rsid w:val="004D7D40"/>
    <w:rsid w:val="005048D8"/>
    <w:rsid w:val="00542D37"/>
    <w:rsid w:val="00591984"/>
    <w:rsid w:val="005C756F"/>
    <w:rsid w:val="005E6540"/>
    <w:rsid w:val="0061728B"/>
    <w:rsid w:val="00684B40"/>
    <w:rsid w:val="006D18DE"/>
    <w:rsid w:val="007751A0"/>
    <w:rsid w:val="007D4786"/>
    <w:rsid w:val="008D2180"/>
    <w:rsid w:val="0090557D"/>
    <w:rsid w:val="00AC18A0"/>
    <w:rsid w:val="00AC5963"/>
    <w:rsid w:val="00AD323C"/>
    <w:rsid w:val="00CA5A08"/>
    <w:rsid w:val="00CB55CF"/>
    <w:rsid w:val="00DC7932"/>
    <w:rsid w:val="00E64B7A"/>
    <w:rsid w:val="00F14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966B1"/>
  <w15:chartTrackingRefBased/>
  <w15:docId w15:val="{A8DC1535-FE8B-425B-882A-5496DB0A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9198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9198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91984"/>
    <w:rPr>
      <w:b/>
      <w:bCs/>
      <w:kern w:val="44"/>
      <w:sz w:val="44"/>
      <w:szCs w:val="44"/>
    </w:rPr>
  </w:style>
  <w:style w:type="character" w:customStyle="1" w:styleId="20">
    <w:name w:val="标题 2 字符"/>
    <w:basedOn w:val="a0"/>
    <w:link w:val="2"/>
    <w:uiPriority w:val="9"/>
    <w:semiHidden/>
    <w:rsid w:val="00591984"/>
    <w:rPr>
      <w:rFonts w:asciiTheme="majorHAnsi" w:eastAsiaTheme="majorEastAsia" w:hAnsiTheme="majorHAnsi" w:cstheme="majorBidi"/>
      <w:b/>
      <w:bCs/>
      <w:sz w:val="32"/>
      <w:szCs w:val="32"/>
    </w:rPr>
  </w:style>
  <w:style w:type="character" w:styleId="a3">
    <w:name w:val="Hyperlink"/>
    <w:basedOn w:val="a0"/>
    <w:uiPriority w:val="99"/>
    <w:unhideWhenUsed/>
    <w:rsid w:val="008D2180"/>
    <w:rPr>
      <w:color w:val="0000FF"/>
      <w:u w:val="single"/>
    </w:rPr>
  </w:style>
  <w:style w:type="paragraph" w:styleId="a4">
    <w:name w:val="header"/>
    <w:basedOn w:val="a"/>
    <w:link w:val="a5"/>
    <w:uiPriority w:val="99"/>
    <w:unhideWhenUsed/>
    <w:rsid w:val="0061728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1728B"/>
    <w:rPr>
      <w:sz w:val="18"/>
      <w:szCs w:val="18"/>
    </w:rPr>
  </w:style>
  <w:style w:type="paragraph" w:styleId="a6">
    <w:name w:val="footer"/>
    <w:basedOn w:val="a"/>
    <w:link w:val="a7"/>
    <w:uiPriority w:val="99"/>
    <w:unhideWhenUsed/>
    <w:rsid w:val="0061728B"/>
    <w:pPr>
      <w:tabs>
        <w:tab w:val="center" w:pos="4153"/>
        <w:tab w:val="right" w:pos="8306"/>
      </w:tabs>
      <w:snapToGrid w:val="0"/>
      <w:jc w:val="left"/>
    </w:pPr>
    <w:rPr>
      <w:sz w:val="18"/>
      <w:szCs w:val="18"/>
    </w:rPr>
  </w:style>
  <w:style w:type="character" w:customStyle="1" w:styleId="a7">
    <w:name w:val="页脚 字符"/>
    <w:basedOn w:val="a0"/>
    <w:link w:val="a6"/>
    <w:uiPriority w:val="99"/>
    <w:rsid w:val="0061728B"/>
    <w:rPr>
      <w:sz w:val="18"/>
      <w:szCs w:val="18"/>
    </w:rPr>
  </w:style>
  <w:style w:type="character" w:styleId="a8">
    <w:name w:val="Unresolved Mention"/>
    <w:basedOn w:val="a0"/>
    <w:uiPriority w:val="99"/>
    <w:semiHidden/>
    <w:unhideWhenUsed/>
    <w:rsid w:val="00F14AF5"/>
    <w:rPr>
      <w:color w:val="808080"/>
      <w:shd w:val="clear" w:color="auto" w:fill="E6E6E6"/>
    </w:rPr>
  </w:style>
  <w:style w:type="paragraph" w:styleId="HTML">
    <w:name w:val="HTML Preformatted"/>
    <w:basedOn w:val="a"/>
    <w:link w:val="HTML0"/>
    <w:uiPriority w:val="99"/>
    <w:semiHidden/>
    <w:unhideWhenUsed/>
    <w:rsid w:val="00AD323C"/>
    <w:rPr>
      <w:rFonts w:ascii="Courier New" w:hAnsi="Courier New" w:cs="Courier New"/>
      <w:sz w:val="20"/>
      <w:szCs w:val="20"/>
    </w:rPr>
  </w:style>
  <w:style w:type="character" w:customStyle="1" w:styleId="HTML0">
    <w:name w:val="HTML 预设格式 字符"/>
    <w:basedOn w:val="a0"/>
    <w:link w:val="HTML"/>
    <w:uiPriority w:val="99"/>
    <w:semiHidden/>
    <w:rsid w:val="00AD323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3212">
      <w:bodyDiv w:val="1"/>
      <w:marLeft w:val="0"/>
      <w:marRight w:val="0"/>
      <w:marTop w:val="0"/>
      <w:marBottom w:val="0"/>
      <w:divBdr>
        <w:top w:val="none" w:sz="0" w:space="0" w:color="auto"/>
        <w:left w:val="none" w:sz="0" w:space="0" w:color="auto"/>
        <w:bottom w:val="none" w:sz="0" w:space="0" w:color="auto"/>
        <w:right w:val="none" w:sz="0" w:space="0" w:color="auto"/>
      </w:divBdr>
    </w:div>
    <w:div w:id="280889255">
      <w:bodyDiv w:val="1"/>
      <w:marLeft w:val="0"/>
      <w:marRight w:val="0"/>
      <w:marTop w:val="0"/>
      <w:marBottom w:val="0"/>
      <w:divBdr>
        <w:top w:val="none" w:sz="0" w:space="0" w:color="auto"/>
        <w:left w:val="none" w:sz="0" w:space="0" w:color="auto"/>
        <w:bottom w:val="none" w:sz="0" w:space="0" w:color="auto"/>
        <w:right w:val="none" w:sz="0" w:space="0" w:color="auto"/>
      </w:divBdr>
    </w:div>
    <w:div w:id="431514704">
      <w:bodyDiv w:val="1"/>
      <w:marLeft w:val="0"/>
      <w:marRight w:val="0"/>
      <w:marTop w:val="0"/>
      <w:marBottom w:val="0"/>
      <w:divBdr>
        <w:top w:val="none" w:sz="0" w:space="0" w:color="auto"/>
        <w:left w:val="none" w:sz="0" w:space="0" w:color="auto"/>
        <w:bottom w:val="none" w:sz="0" w:space="0" w:color="auto"/>
        <w:right w:val="none" w:sz="0" w:space="0" w:color="auto"/>
      </w:divBdr>
    </w:div>
    <w:div w:id="471488769">
      <w:bodyDiv w:val="1"/>
      <w:marLeft w:val="0"/>
      <w:marRight w:val="0"/>
      <w:marTop w:val="0"/>
      <w:marBottom w:val="0"/>
      <w:divBdr>
        <w:top w:val="none" w:sz="0" w:space="0" w:color="auto"/>
        <w:left w:val="none" w:sz="0" w:space="0" w:color="auto"/>
        <w:bottom w:val="none" w:sz="0" w:space="0" w:color="auto"/>
        <w:right w:val="none" w:sz="0" w:space="0" w:color="auto"/>
      </w:divBdr>
    </w:div>
    <w:div w:id="857812803">
      <w:bodyDiv w:val="1"/>
      <w:marLeft w:val="0"/>
      <w:marRight w:val="0"/>
      <w:marTop w:val="0"/>
      <w:marBottom w:val="0"/>
      <w:divBdr>
        <w:top w:val="none" w:sz="0" w:space="0" w:color="auto"/>
        <w:left w:val="none" w:sz="0" w:space="0" w:color="auto"/>
        <w:bottom w:val="none" w:sz="0" w:space="0" w:color="auto"/>
        <w:right w:val="none" w:sz="0" w:space="0" w:color="auto"/>
      </w:divBdr>
    </w:div>
    <w:div w:id="864829740">
      <w:bodyDiv w:val="1"/>
      <w:marLeft w:val="0"/>
      <w:marRight w:val="0"/>
      <w:marTop w:val="0"/>
      <w:marBottom w:val="0"/>
      <w:divBdr>
        <w:top w:val="none" w:sz="0" w:space="0" w:color="auto"/>
        <w:left w:val="none" w:sz="0" w:space="0" w:color="auto"/>
        <w:bottom w:val="none" w:sz="0" w:space="0" w:color="auto"/>
        <w:right w:val="none" w:sz="0" w:space="0" w:color="auto"/>
      </w:divBdr>
    </w:div>
    <w:div w:id="1456484685">
      <w:bodyDiv w:val="1"/>
      <w:marLeft w:val="0"/>
      <w:marRight w:val="0"/>
      <w:marTop w:val="0"/>
      <w:marBottom w:val="0"/>
      <w:divBdr>
        <w:top w:val="none" w:sz="0" w:space="0" w:color="auto"/>
        <w:left w:val="none" w:sz="0" w:space="0" w:color="auto"/>
        <w:bottom w:val="none" w:sz="0" w:space="0" w:color="auto"/>
        <w:right w:val="none" w:sz="0" w:space="0" w:color="auto"/>
      </w:divBdr>
    </w:div>
    <w:div w:id="1488128675">
      <w:bodyDiv w:val="1"/>
      <w:marLeft w:val="0"/>
      <w:marRight w:val="0"/>
      <w:marTop w:val="0"/>
      <w:marBottom w:val="0"/>
      <w:divBdr>
        <w:top w:val="none" w:sz="0" w:space="0" w:color="auto"/>
        <w:left w:val="none" w:sz="0" w:space="0" w:color="auto"/>
        <w:bottom w:val="none" w:sz="0" w:space="0" w:color="auto"/>
        <w:right w:val="none" w:sz="0" w:space="0" w:color="auto"/>
      </w:divBdr>
    </w:div>
    <w:div w:id="1923566458">
      <w:bodyDiv w:val="1"/>
      <w:marLeft w:val="0"/>
      <w:marRight w:val="0"/>
      <w:marTop w:val="0"/>
      <w:marBottom w:val="0"/>
      <w:divBdr>
        <w:top w:val="none" w:sz="0" w:space="0" w:color="auto"/>
        <w:left w:val="none" w:sz="0" w:space="0" w:color="auto"/>
        <w:bottom w:val="none" w:sz="0" w:space="0" w:color="auto"/>
        <w:right w:val="none" w:sz="0" w:space="0" w:color="auto"/>
      </w:divBdr>
    </w:div>
    <w:div w:id="214473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1175</TotalTime>
  <Pages>3</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2018-02-09T09:35:00Z</dcterms:created>
  <dcterms:modified xsi:type="dcterms:W3CDTF">2018-02-10T12:19:00Z</dcterms:modified>
</cp:coreProperties>
</file>