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837F90">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837F90">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837F90">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837F90">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837F90">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837F90">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yr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r w:rsidRPr="00787AF3">
        <w:rPr>
          <w:rFonts w:ascii="Times New Roman" w:hAnsi="Times New Roman" w:cs="Times New Roman"/>
          <w:sz w:val="24"/>
          <w:szCs w:val="24"/>
        </w:rPr>
        <w:t>index_nsa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r w:rsidRPr="00787AF3">
        <w:rPr>
          <w:rFonts w:ascii="Times New Roman" w:hAnsi="Times New Roman" w:cs="Times New Roman"/>
          <w:sz w:val="24"/>
          <w:szCs w:val="24"/>
        </w:rPr>
        <w:t>index_sa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hpi_type</w:t>
            </w:r>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hpi_flavor</w:t>
            </w:r>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place_name</w:t>
            </w:r>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place_id</w:t>
            </w:r>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yr</w:t>
            </w:r>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r w:rsidRPr="007B7A20">
              <w:rPr>
                <w:rFonts w:ascii="Times New Roman" w:hAnsi="Times New Roman" w:cs="Times New Roman"/>
                <w:sz w:val="24"/>
                <w:szCs w:val="24"/>
              </w:rPr>
              <w:t>index_nsa</w:t>
            </w:r>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r w:rsidRPr="00132405">
              <w:rPr>
                <w:rFonts w:ascii="Times New Roman" w:hAnsi="Times New Roman" w:cs="Times New Roman"/>
                <w:sz w:val="24"/>
                <w:szCs w:val="24"/>
              </w:rPr>
              <w:t>index_sa</w:t>
            </w:r>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is that the HPI data has been uploaded to Github</w:t>
      </w:r>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Aderibigbe</w:t>
      </w:r>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 xml:space="preserve">Smola, A. &amp; Vishwanathan,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11B65924"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R code</w:t>
      </w:r>
      <w:bookmarkEnd w:id="6"/>
    </w:p>
    <w:p w14:paraId="5270A3AB" w14:textId="77777777" w:rsidR="003368CD" w:rsidRPr="003368CD" w:rsidRDefault="003368CD" w:rsidP="003368CD">
      <w:pPr>
        <w:rPr>
          <w:rFonts w:ascii="Times New Roman" w:hAnsi="Times New Roman" w:cs="Times New Roman"/>
          <w:sz w:val="24"/>
          <w:szCs w:val="24"/>
        </w:rPr>
      </w:pPr>
    </w:p>
    <w:bookmarkStart w:id="7" w:name="_MON_1690482477"/>
    <w:bookmarkEnd w:id="7"/>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5" DrawAspect="Content" ObjectID="_1692127757" r:id="rId18">
            <o:FieldCodes>\s</o:FieldCodes>
          </o:OLEObject>
        </w:object>
      </w:r>
    </w:p>
    <w:p w14:paraId="451E9E42" w14:textId="471016A3" w:rsidR="00045A5F" w:rsidRDefault="00045A5F" w:rsidP="00045A5F">
      <w:pPr>
        <w:pStyle w:val="2"/>
        <w:rPr>
          <w:rFonts w:ascii="Times New Roman" w:hAnsi="Times New Roman" w:cs="Times New Roman"/>
          <w:sz w:val="24"/>
          <w:szCs w:val="24"/>
        </w:rPr>
      </w:pPr>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r w:rsidRPr="00045A5F">
        <w:t>https://github.com/wx2123/FHFA_HPI</w:t>
      </w:r>
    </w:p>
    <w:p w14:paraId="217021EB" w14:textId="70692A13" w:rsidR="00045A5F" w:rsidRDefault="00045A5F" w:rsidP="0085789F">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8235"/>
                    </a:xfrm>
                    <a:prstGeom prst="rect">
                      <a:avLst/>
                    </a:prstGeom>
                  </pic:spPr>
                </pic:pic>
              </a:graphicData>
            </a:graphic>
          </wp:inline>
        </w:drawing>
      </w:r>
    </w:p>
    <w:p w14:paraId="33BEDA1E" w14:textId="46A122D3" w:rsidR="004C3E6C" w:rsidRDefault="004C3E6C" w:rsidP="0085789F">
      <w:r>
        <w:rPr>
          <w:rFonts w:hint="eastAsia"/>
        </w:rPr>
        <w:t>G</w:t>
      </w:r>
      <w:r>
        <w:t>itHub APP</w:t>
      </w:r>
    </w:p>
    <w:p w14:paraId="2EC1C648" w14:textId="2C5ED67A" w:rsidR="004C3E6C" w:rsidRDefault="004C3E6C" w:rsidP="0085789F">
      <w:r w:rsidRPr="004C3E6C">
        <w:rPr>
          <w:noProof/>
        </w:rPr>
        <w:lastRenderedPageBreak/>
        <w:drawing>
          <wp:inline distT="0" distB="0" distL="0" distR="0" wp14:anchorId="0B4FE737" wp14:editId="427107B7">
            <wp:extent cx="2165299" cy="493440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309" cy="4959491"/>
                    </a:xfrm>
                    <a:prstGeom prst="rect">
                      <a:avLst/>
                    </a:prstGeom>
                    <a:noFill/>
                    <a:ln>
                      <a:noFill/>
                    </a:ln>
                  </pic:spPr>
                </pic:pic>
              </a:graphicData>
            </a:graphic>
          </wp:inline>
        </w:drawing>
      </w:r>
    </w:p>
    <w:p w14:paraId="6F966B9F" w14:textId="77777777" w:rsidR="004C3E6C" w:rsidRDefault="004C3E6C" w:rsidP="0085789F">
      <w:pPr>
        <w:rPr>
          <w:rFonts w:hint="eastAsia"/>
        </w:rPr>
      </w:pPr>
    </w:p>
    <w:p w14:paraId="0D8008FA" w14:textId="118844AA" w:rsidR="004C3E6C" w:rsidRDefault="004C3E6C" w:rsidP="0085789F">
      <w:r>
        <w:rPr>
          <w:rFonts w:hint="eastAsia"/>
        </w:rPr>
        <w:t>Git</w:t>
      </w:r>
      <w:r>
        <w:t xml:space="preserve">Hub </w:t>
      </w:r>
      <w:r>
        <w:rPr>
          <w:rFonts w:hint="eastAsia"/>
        </w:rPr>
        <w:t>Des</w:t>
      </w:r>
      <w:r>
        <w:t>ktop</w:t>
      </w:r>
    </w:p>
    <w:p w14:paraId="05048A68" w14:textId="7B7CF4F0" w:rsidR="004C3E6C" w:rsidRPr="00045A5F" w:rsidRDefault="004C3E6C" w:rsidP="0085789F">
      <w:pPr>
        <w:rPr>
          <w:rFonts w:hint="eastAsia"/>
        </w:rPr>
      </w:pPr>
      <w:r>
        <w:rPr>
          <w:noProof/>
        </w:rPr>
        <w:drawing>
          <wp:inline distT="0" distB="0" distL="0" distR="0" wp14:anchorId="03CD93E7" wp14:editId="7D0CA564">
            <wp:extent cx="5274310" cy="2823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23845"/>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sz w:val="24"/>
          <w:szCs w:val="24"/>
        </w:rPr>
      </w:pPr>
    </w:p>
    <w:sectPr w:rsidR="00045A5F" w:rsidRPr="00132405">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A89C" w14:textId="77777777" w:rsidR="00837F90" w:rsidRDefault="00837F90">
      <w:r>
        <w:separator/>
      </w:r>
    </w:p>
  </w:endnote>
  <w:endnote w:type="continuationSeparator" w:id="0">
    <w:p w14:paraId="7F955576" w14:textId="77777777" w:rsidR="00837F90" w:rsidRDefault="0083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D29D" w14:textId="77777777" w:rsidR="00837F90" w:rsidRDefault="00837F90">
      <w:r>
        <w:separator/>
      </w:r>
    </w:p>
  </w:footnote>
  <w:footnote w:type="continuationSeparator" w:id="0">
    <w:p w14:paraId="60F9BF6D" w14:textId="77777777" w:rsidR="00837F90" w:rsidRDefault="00837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46479"/>
    <w:rsid w:val="004621BC"/>
    <w:rsid w:val="00467D48"/>
    <w:rsid w:val="004B63C8"/>
    <w:rsid w:val="004C1F0E"/>
    <w:rsid w:val="004C21C5"/>
    <w:rsid w:val="004C3E6C"/>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Word_Document.docx"/><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7</cp:revision>
  <dcterms:created xsi:type="dcterms:W3CDTF">2021-08-29T03:46:00Z</dcterms:created>
  <dcterms:modified xsi:type="dcterms:W3CDTF">2021-09-03T02:43:00Z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