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管理者短视主义对企业研发投入的影响</w:t>
        <w:br/>
        <w:t>——基于上市公司年报文本的NLP测度构建</w:t>
      </w:r>
    </w:p>
    <w:p>
      <w:pPr>
        <w:jc w:val="center"/>
      </w:pPr>
      <w:r>
        <w:rPr>
          <w:rFonts w:ascii="楷体" w:hAnsi="楷体" w:eastAsia="楷体"/>
          <w:b w:val="0"/>
          <w:sz w:val="28"/>
        </w:rPr>
        <w:t>（毕业论文预演稿）</w:t>
      </w:r>
    </w:p>
    <w:p/>
    <w:p/>
    <w:p>
      <w:pPr>
        <w:jc w:val="center"/>
      </w:pPr>
      <w:r>
        <w:rPr>
          <w:rFonts w:ascii="宋体" w:hAnsi="宋体" w:eastAsia="宋体"/>
          <w:b w:val="0"/>
          <w:sz w:val="24"/>
        </w:rPr>
        <w:t>学    生：王汐冰</w:t>
      </w:r>
    </w:p>
    <w:p>
      <w:pPr>
        <w:jc w:val="center"/>
      </w:pPr>
      <w:r>
        <w:rPr>
          <w:rFonts w:ascii="宋体" w:hAnsi="宋体" w:eastAsia="宋体"/>
          <w:b w:val="0"/>
          <w:sz w:val="24"/>
        </w:rPr>
        <w:t>学    号：202364116</w:t>
      </w:r>
    </w:p>
    <w:p>
      <w:pPr>
        <w:jc w:val="center"/>
      </w:pPr>
      <w:r>
        <w:rPr>
          <w:rFonts w:ascii="宋体" w:hAnsi="宋体" w:eastAsia="宋体"/>
          <w:b w:val="0"/>
          <w:sz w:val="24"/>
        </w:rPr>
        <w:t>专    业：大数据管理与应用 3班</w:t>
      </w:r>
    </w:p>
    <w:p>
      <w:pPr>
        <w:jc w:val="center"/>
      </w:pPr>
      <w:r>
        <w:rPr>
          <w:rFonts w:ascii="宋体" w:hAnsi="宋体" w:eastAsia="宋体"/>
          <w:b w:val="0"/>
          <w:sz w:val="24"/>
        </w:rPr>
        <w:t>指导教师：孙智广</w:t>
      </w:r>
    </w:p>
    <w:p>
      <w:pPr>
        <w:jc w:val="center"/>
      </w:pPr>
      <w:r>
        <w:rPr>
          <w:rFonts w:ascii="宋体" w:hAnsi="宋体" w:eastAsia="宋体"/>
          <w:b w:val="0"/>
          <w:sz w:val="24"/>
        </w:rPr>
        <w:t>课程名称：管理研究中的NLP测度构建方法</w:t>
      </w:r>
    </w:p>
    <w:p>
      <w:pPr>
        <w:jc w:val="center"/>
      </w:pPr>
      <w:r>
        <w:rPr>
          <w:rFonts w:ascii="宋体" w:hAnsi="宋体" w:eastAsia="宋体"/>
          <w:b w:val="0"/>
          <w:sz w:val="24"/>
        </w:rPr>
        <w:t>提交日期：2026 年 10 月</w:t>
      </w:r>
    </w:p>
    <w:p>
      <w:r>
        <w:br w:type="page"/>
      </w:r>
    </w:p>
    <w:p>
      <w:pPr>
        <w:jc w:val="center"/>
      </w:pPr>
      <w:r>
        <w:rPr>
          <w:rFonts w:ascii="黑体" w:hAnsi="黑体" w:eastAsia="黑体"/>
          <w:b/>
          <w:sz w:val="32"/>
        </w:rPr>
        <w:t>目  录</w:t>
      </w:r>
    </w:p>
    <w:p>
      <w:pPr>
        <w:spacing w:after="40"/>
      </w:pPr>
      <w:r>
        <w:rPr>
          <w:rFonts w:ascii="宋体" w:hAnsi="宋体" w:eastAsia="宋体"/>
          <w:b w:val="0"/>
          <w:sz w:val="24"/>
        </w:rPr>
        <w:t>摘  要</w:t>
      </w:r>
    </w:p>
    <w:p>
      <w:pPr>
        <w:spacing w:after="40"/>
      </w:pPr>
      <w:r>
        <w:rPr>
          <w:rFonts w:ascii="宋体" w:hAnsi="宋体" w:eastAsia="宋体"/>
          <w:b w:val="0"/>
          <w:sz w:val="24"/>
        </w:rPr>
        <w:t>一、绪  论</w:t>
      </w:r>
    </w:p>
    <w:p>
      <w:pPr>
        <w:spacing w:after="40"/>
      </w:pPr>
      <w:r>
        <w:rPr>
          <w:rFonts w:ascii="宋体" w:hAnsi="宋体" w:eastAsia="宋体"/>
          <w:b w:val="0"/>
          <w:sz w:val="24"/>
        </w:rPr>
        <w:t xml:space="preserve">    1.1 研究背景与意义</w:t>
      </w:r>
    </w:p>
    <w:p>
      <w:pPr>
        <w:spacing w:after="40"/>
      </w:pPr>
      <w:r>
        <w:rPr>
          <w:rFonts w:ascii="宋体" w:hAnsi="宋体" w:eastAsia="宋体"/>
          <w:b w:val="0"/>
          <w:sz w:val="24"/>
        </w:rPr>
        <w:t xml:space="preserve">    1.2 研究问题</w:t>
      </w:r>
    </w:p>
    <w:p>
      <w:pPr>
        <w:spacing w:after="40"/>
      </w:pPr>
      <w:r>
        <w:rPr>
          <w:rFonts w:ascii="宋体" w:hAnsi="宋体" w:eastAsia="宋体"/>
          <w:b w:val="0"/>
          <w:sz w:val="24"/>
        </w:rPr>
        <w:t xml:space="preserve">    1.3 研究方法与技术路线</w:t>
      </w:r>
    </w:p>
    <w:p>
      <w:pPr>
        <w:spacing w:after="40"/>
      </w:pPr>
      <w:r>
        <w:rPr>
          <w:rFonts w:ascii="宋体" w:hAnsi="宋体" w:eastAsia="宋体"/>
          <w:b w:val="0"/>
          <w:sz w:val="24"/>
        </w:rPr>
        <w:t xml:space="preserve">    1.4 研究创新与局限</w:t>
      </w:r>
    </w:p>
    <w:p>
      <w:pPr>
        <w:spacing w:after="40"/>
      </w:pPr>
      <w:r>
        <w:rPr>
          <w:rFonts w:ascii="宋体" w:hAnsi="宋体" w:eastAsia="宋体"/>
          <w:b w:val="0"/>
          <w:sz w:val="24"/>
        </w:rPr>
        <w:t>二、文献综述与理论框架</w:t>
      </w:r>
    </w:p>
    <w:p>
      <w:pPr>
        <w:spacing w:after="40"/>
      </w:pPr>
      <w:r>
        <w:rPr>
          <w:rFonts w:ascii="宋体" w:hAnsi="宋体" w:eastAsia="宋体"/>
          <w:b w:val="0"/>
          <w:sz w:val="24"/>
        </w:rPr>
        <w:t xml:space="preserve">    2.1 管理者短视主义的相关研究</w:t>
      </w:r>
    </w:p>
    <w:p>
      <w:pPr>
        <w:spacing w:after="40"/>
      </w:pPr>
      <w:r>
        <w:rPr>
          <w:rFonts w:ascii="宋体" w:hAnsi="宋体" w:eastAsia="宋体"/>
          <w:b w:val="0"/>
          <w:sz w:val="24"/>
        </w:rPr>
        <w:t xml:space="preserve">    2.2 文本分析在管理研究中的测度应用</w:t>
      </w:r>
    </w:p>
    <w:p>
      <w:pPr>
        <w:spacing w:after="40"/>
      </w:pPr>
      <w:r>
        <w:rPr>
          <w:rFonts w:ascii="宋体" w:hAnsi="宋体" w:eastAsia="宋体"/>
          <w:b w:val="0"/>
          <w:sz w:val="24"/>
        </w:rPr>
        <w:t xml:space="preserve">    2.3 理论分析与研究假设</w:t>
      </w:r>
    </w:p>
    <w:p>
      <w:pPr>
        <w:spacing w:after="40"/>
      </w:pPr>
      <w:r>
        <w:rPr>
          <w:rFonts w:ascii="宋体" w:hAnsi="宋体" w:eastAsia="宋体"/>
          <w:b w:val="0"/>
          <w:sz w:val="24"/>
        </w:rPr>
        <w:t>三、研究设计与NLP测度构建方法</w:t>
      </w:r>
    </w:p>
    <w:p>
      <w:pPr>
        <w:spacing w:after="40"/>
      </w:pPr>
      <w:r>
        <w:rPr>
          <w:rFonts w:ascii="宋体" w:hAnsi="宋体" w:eastAsia="宋体"/>
          <w:b w:val="0"/>
          <w:sz w:val="24"/>
        </w:rPr>
        <w:t xml:space="preserve">    3.1 总体框架：文本测度构建五步法</w:t>
      </w:r>
    </w:p>
    <w:p>
      <w:pPr>
        <w:spacing w:after="40"/>
      </w:pPr>
      <w:r>
        <w:rPr>
          <w:rFonts w:ascii="宋体" w:hAnsi="宋体" w:eastAsia="宋体"/>
          <w:b w:val="0"/>
          <w:sz w:val="24"/>
        </w:rPr>
        <w:t xml:space="preserve">    3.2 步骤一：语料获取</w:t>
      </w:r>
    </w:p>
    <w:p>
      <w:pPr>
        <w:spacing w:after="40"/>
      </w:pPr>
      <w:r>
        <w:rPr>
          <w:rFonts w:ascii="宋体" w:hAnsi="宋体" w:eastAsia="宋体"/>
          <w:b w:val="0"/>
          <w:sz w:val="24"/>
        </w:rPr>
        <w:t xml:space="preserve">    3.3 步骤二：文本预处理</w:t>
      </w:r>
    </w:p>
    <w:p>
      <w:pPr>
        <w:spacing w:after="40"/>
      </w:pPr>
      <w:r>
        <w:rPr>
          <w:rFonts w:ascii="宋体" w:hAnsi="宋体" w:eastAsia="宋体"/>
          <w:b w:val="0"/>
          <w:sz w:val="24"/>
        </w:rPr>
        <w:t xml:space="preserve">    3.4 步骤三：特征提取（词典法）</w:t>
      </w:r>
    </w:p>
    <w:p>
      <w:pPr>
        <w:spacing w:after="40"/>
      </w:pPr>
      <w:r>
        <w:rPr>
          <w:rFonts w:ascii="宋体" w:hAnsi="宋体" w:eastAsia="宋体"/>
          <w:b w:val="0"/>
          <w:sz w:val="24"/>
        </w:rPr>
        <w:t xml:space="preserve">    3.5 步骤四：指标构建</w:t>
      </w:r>
    </w:p>
    <w:p>
      <w:pPr>
        <w:spacing w:after="40"/>
      </w:pPr>
      <w:r>
        <w:rPr>
          <w:rFonts w:ascii="宋体" w:hAnsi="宋体" w:eastAsia="宋体"/>
          <w:b w:val="0"/>
          <w:sz w:val="24"/>
        </w:rPr>
        <w:t xml:space="preserve">    3.6 步骤五：信度与效度检验</w:t>
      </w:r>
    </w:p>
    <w:p>
      <w:pPr>
        <w:spacing w:after="40"/>
      </w:pPr>
      <w:r>
        <w:rPr>
          <w:rFonts w:ascii="宋体" w:hAnsi="宋体" w:eastAsia="宋体"/>
          <w:b w:val="0"/>
          <w:sz w:val="24"/>
        </w:rPr>
        <w:t xml:space="preserve">    3.7 数据来源与变量定义</w:t>
      </w:r>
    </w:p>
    <w:p>
      <w:pPr>
        <w:spacing w:after="40"/>
      </w:pPr>
      <w:r>
        <w:rPr>
          <w:rFonts w:ascii="宋体" w:hAnsi="宋体" w:eastAsia="宋体"/>
          <w:b w:val="0"/>
          <w:sz w:val="24"/>
        </w:rPr>
        <w:t>四、实证分析</w:t>
      </w:r>
    </w:p>
    <w:p>
      <w:pPr>
        <w:spacing w:after="40"/>
      </w:pPr>
      <w:r>
        <w:rPr>
          <w:rFonts w:ascii="宋体" w:hAnsi="宋体" w:eastAsia="宋体"/>
          <w:b w:val="0"/>
          <w:sz w:val="24"/>
        </w:rPr>
        <w:t xml:space="preserve">    4.1 描述性统计</w:t>
      </w:r>
    </w:p>
    <w:p>
      <w:pPr>
        <w:spacing w:after="40"/>
      </w:pPr>
      <w:r>
        <w:rPr>
          <w:rFonts w:ascii="宋体" w:hAnsi="宋体" w:eastAsia="宋体"/>
          <w:b w:val="0"/>
          <w:sz w:val="24"/>
        </w:rPr>
        <w:t xml:space="preserve">    4.2 信度与效度检验结果</w:t>
      </w:r>
    </w:p>
    <w:p>
      <w:pPr>
        <w:spacing w:after="40"/>
      </w:pPr>
      <w:r>
        <w:rPr>
          <w:rFonts w:ascii="宋体" w:hAnsi="宋体" w:eastAsia="宋体"/>
          <w:b w:val="0"/>
          <w:sz w:val="24"/>
        </w:rPr>
        <w:t xml:space="preserve">    4.3 主回归结果：短视主义与研发投入</w:t>
      </w:r>
    </w:p>
    <w:p>
      <w:pPr>
        <w:spacing w:after="40"/>
      </w:pPr>
      <w:r>
        <w:rPr>
          <w:rFonts w:ascii="宋体" w:hAnsi="宋体" w:eastAsia="宋体"/>
          <w:b w:val="0"/>
          <w:sz w:val="24"/>
        </w:rPr>
        <w:t xml:space="preserve">    4.4 分组对比与年度差异分析</w:t>
      </w:r>
    </w:p>
    <w:p>
      <w:pPr>
        <w:spacing w:after="40"/>
      </w:pPr>
      <w:r>
        <w:rPr>
          <w:rFonts w:ascii="宋体" w:hAnsi="宋体" w:eastAsia="宋体"/>
          <w:b w:val="0"/>
          <w:sz w:val="24"/>
        </w:rPr>
        <w:t xml:space="preserve">    4.5 稳健性讨论</w:t>
      </w:r>
    </w:p>
    <w:p>
      <w:pPr>
        <w:spacing w:after="40"/>
      </w:pPr>
      <w:r>
        <w:rPr>
          <w:rFonts w:ascii="宋体" w:hAnsi="宋体" w:eastAsia="宋体"/>
          <w:b w:val="0"/>
          <w:sz w:val="24"/>
        </w:rPr>
        <w:t>五、结论与启示</w:t>
      </w:r>
    </w:p>
    <w:p>
      <w:pPr>
        <w:spacing w:after="40"/>
      </w:pPr>
      <w:r>
        <w:rPr>
          <w:rFonts w:ascii="宋体" w:hAnsi="宋体" w:eastAsia="宋体"/>
          <w:b w:val="0"/>
          <w:sz w:val="24"/>
        </w:rPr>
        <w:t>参考文献</w:t>
      </w:r>
    </w:p>
    <w:p>
      <w:pPr>
        <w:spacing w:after="40"/>
      </w:pPr>
      <w:r>
        <w:rPr>
          <w:rFonts w:ascii="宋体" w:hAnsi="宋体" w:eastAsia="宋体"/>
          <w:b w:val="0"/>
          <w:sz w:val="24"/>
        </w:rPr>
        <w:t>附：可复现代码与数据说明</w:t>
      </w:r>
    </w:p>
    <w:p>
      <w:r>
        <w:br w:type="page"/>
      </w:r>
    </w:p>
    <w:p>
      <w:pPr>
        <w:pStyle w:val="Heading1"/>
      </w:pPr>
      <w:r>
        <w:rPr>
          <w:rFonts w:ascii="黑体" w:hAnsi="黑体" w:eastAsia="黑体"/>
          <w:b/>
          <w:sz w:val="32"/>
        </w:rPr>
        <w:t>摘  要</w:t>
      </w:r>
    </w:p>
    <w:p>
      <w:pPr>
        <w:spacing w:after="120"/>
        <w:ind w:firstLine="480"/>
      </w:pPr>
      <w:r>
        <w:rPr>
          <w:rFonts w:ascii="宋体" w:hAnsi="宋体" w:eastAsia="宋体"/>
          <w:b w:val="0"/>
          <w:sz w:val="24"/>
        </w:rPr>
        <w:t>在资本市场信息不对称与短期业绩压力加剧的背景下，管理者短视主义（managerial short-termism）被视为抑制企业长期创新与投资效率的重要行为因素。然而，管理者的时间偏好难以用传统财务数据直接观测，以往研究多依赖问卷调查或间接代理变量，存在主观偏差与度量噪声。本文借鉴管理研究中新兴的自然语言处理（NLP）文本测度构建方法，以沪深A股上市公司年度报告“管理层讨论与分析”（MD&amp;A）章节为语料，按照“语料获取—文本预处理—特征提取—指标构建—信度与效度检验”五步流水线，构建企业—年度层面的管理者短视主义文本测度（ShortTerm），并以其检验短视主义对企业研发投入强度的影响。研究采用43词“短期视域词典”进行词典法特征提取，以每千词短视词典命中数作为标准化测度。信效度检验显示：折半相关（经Spearman-Brown校正）达到可接受水平，短视测度与已知潜在短视强度的聚合效度系数为0.822，与长期视域测度的区分效度系数为-0.589；在控制公司规模、盈利、杠杆、上市年龄、成长性与现金流后，短视测度对研发投入强度的回归系数在1%水平显著为负（β=-0.120，t=-25.65），表明管理者短视主义显著抑制企业研发投入。本文的贡献在于：将课程所学的NLP测度构建方法系统应用于一个具体管理问题，并提供了可复现的五步流水线代码与企业—年份面板数据集。需要说明，本文为课程预演稿，实证采用合成演示数据以跑通方法流程，真实研究需在获取巨潮资讯网与CSMAR数据后复现。</w:t>
      </w:r>
    </w:p>
    <w:p>
      <w:pPr>
        <w:spacing w:after="120"/>
      </w:pPr>
      <w:r>
        <w:rPr>
          <w:rFonts w:ascii="宋体" w:hAnsi="宋体" w:eastAsia="宋体"/>
          <w:b w:val="0"/>
          <w:sz w:val="24"/>
        </w:rPr>
        <w:t>关键词：自然语言处理；文本测度；管理者短视主义；研发投入；年报MD&amp;A；词典法</w:t>
      </w:r>
    </w:p>
    <w:p>
      <w:pPr>
        <w:pStyle w:val="Heading1"/>
      </w:pPr>
      <w:r>
        <w:rPr>
          <w:rFonts w:ascii="黑体" w:hAnsi="黑体" w:eastAsia="黑体"/>
          <w:b/>
          <w:sz w:val="32"/>
        </w:rPr>
        <w:t>一、绪  论</w:t>
      </w:r>
    </w:p>
    <w:p>
      <w:pPr>
        <w:pStyle w:val="Heading2"/>
      </w:pPr>
      <w:r>
        <w:rPr>
          <w:rFonts w:ascii="黑体" w:hAnsi="黑体" w:eastAsia="黑体"/>
          <w:b/>
          <w:sz w:val="28"/>
        </w:rPr>
        <w:t>1.1 研究背景与意义</w:t>
      </w:r>
    </w:p>
    <w:p>
      <w:pPr>
        <w:spacing w:after="120"/>
        <w:ind w:firstLine="480"/>
      </w:pPr>
      <w:r>
        <w:rPr>
          <w:rFonts w:ascii="宋体" w:hAnsi="宋体" w:eastAsia="宋体"/>
          <w:b w:val="0"/>
          <w:sz w:val="24"/>
        </w:rPr>
        <w:t>进入高质量发展阶段，创新驱动已成为企业获取持续竞争力的核心路径，而研发投入是创新产出的前提。大量财务与战略研究指出，企业研发活动具有周期长、风险高、收益跨期等特征，其决策高度依赖管理者的时间偏好与风险态度。当管理者更关注任期内短期业绩与股价表现时，往往倾向于削减或不愿意开展回报滞后的研发投资，这种行为倾向被学界概括为“管理者短视主义”（managerial short-termism）。管理者短视不仅关乎单个企业的创新效率，也影响宏观层面的技术进步与产业升级，因而成为公司治理与战略管理领域的重要议题。然而，管理者短视作为一种内隐的认知与行为倾向，并不像资产规模、利润率那样直接体现在财务报表中。传统文献或依赖高管问卷调查、或借助盈余管理、资本支出结构等间接变量加以代理，前者成本高、样本小且易受共同方法偏差影响，后者则混淆了短视与其他经营决策，度量效度有限。近年来，随着上市公司信息披露文本的可获得性提升与自然语言处理技术的成熟，学者开始从年报、电话会议、社交媒体等文本中挖掘管理者的语言特征，构建更直接、高频、低成本的文本型行为测度。其中，胡楠等（2021）基于年报MD&amp;A文本构建的“管理者短视主义”词典测度，为这一方向提供了代表性范式。本文正是在该范式启发下，运用课程所授的文本测度构建方法，独立复现并拓展一条可复现的研究路径。</w:t>
      </w:r>
    </w:p>
    <w:p>
      <w:pPr>
        <w:spacing w:after="120"/>
        <w:ind w:firstLine="480"/>
      </w:pPr>
      <w:r>
        <w:rPr>
          <w:rFonts w:ascii="宋体" w:hAnsi="宋体" w:eastAsia="宋体"/>
          <w:b w:val="0"/>
          <w:sz w:val="24"/>
        </w:rPr>
        <w:t>本研究的理论意义在于：第一，将抽象、内隐的“时间偏好”概念操作化为可计算、可比较的文本指标，丰富了管理者特质与行为偏好的测度工具箱；第二，通过系统的信度与效度检验，示范了文本测度在管理研究中应具备的质量控制流程，有助于缓解“文本即数据”的盲目使用。实践意义在于：为监管者与投资者识别企业创新意愿提供语言层面的预警信号，也为企业优化高管考核与任期设计、抑制短视行为提供参考。</w:t>
      </w:r>
    </w:p>
    <w:p>
      <w:pPr>
        <w:spacing w:after="120"/>
        <w:ind w:firstLine="480"/>
      </w:pPr>
      <w:r>
        <w:rPr>
          <w:rFonts w:ascii="宋体" w:hAnsi="宋体" w:eastAsia="宋体"/>
          <w:b w:val="0"/>
          <w:sz w:val="24"/>
        </w:rPr>
        <w:t>进一步看，数字经济时代使得企业披露文本规模持续增长、获取成本急剧下降，为“以文证行”的研究范式提供了前所未有的数据基础。年报作为强制性信息披露文件，具有口径统一、连续可比、法律约束力强等特征，其MD&amp;A章节更是管理者向市场陈述战略判断的核心载体。因此，从年报文本中识别管理者时间偏好的语言痕迹，既具备数据可得性，也具备制度层面的稳健性，是连接语言心理学与公司财务行为的理想切口。本文选择这一场景，正是希望在方法训练的同时，产出对真实管理问题有解释力的初步证据。</w:t>
      </w:r>
    </w:p>
    <w:p>
      <w:pPr>
        <w:pStyle w:val="Heading2"/>
      </w:pPr>
      <w:r>
        <w:rPr>
          <w:rFonts w:ascii="黑体" w:hAnsi="黑体" w:eastAsia="黑体"/>
          <w:b/>
          <w:sz w:val="28"/>
        </w:rPr>
        <w:t>1.2 研究问题</w:t>
      </w:r>
    </w:p>
    <w:p>
      <w:pPr>
        <w:spacing w:after="120"/>
        <w:ind w:firstLine="480"/>
      </w:pPr>
      <w:r>
        <w:rPr>
          <w:rFonts w:ascii="宋体" w:hAnsi="宋体" w:eastAsia="宋体"/>
          <w:b w:val="0"/>
          <w:sz w:val="24"/>
        </w:rPr>
        <w:t>基于上述背景，本文聚焦以下核心研究问题：（1）如何依据规范化的NLP文本测度构建流程，从上市公司年报MD&amp;A文本中可靠地度量管理者短视主义？（2）所构建的短视测度在信度（内部一致性）与效度（聚合效度、区分效度、预测效度）上是否满足管理学研究的质量要求？（3）在控制公司特征后，管理者短视主义是否显著抑制企业的研发投入强度？围绕这三个问题，本文形成“方法构建—质量评估—因果检验”的递进式分析结构。</w:t>
      </w:r>
    </w:p>
    <w:p>
      <w:pPr>
        <w:pStyle w:val="Heading2"/>
      </w:pPr>
      <w:r>
        <w:rPr>
          <w:rFonts w:ascii="黑体" w:hAnsi="黑体" w:eastAsia="黑体"/>
          <w:b/>
          <w:sz w:val="28"/>
        </w:rPr>
        <w:t>1.3 研究方法与技术路线</w:t>
      </w:r>
    </w:p>
    <w:p>
      <w:pPr>
        <w:spacing w:after="120"/>
        <w:ind w:firstLine="480"/>
      </w:pPr>
      <w:r>
        <w:rPr>
          <w:rFonts w:ascii="宋体" w:hAnsi="宋体" w:eastAsia="宋体"/>
          <w:b w:val="0"/>
          <w:sz w:val="24"/>
        </w:rPr>
        <w:t>本文采用“计算文本分析+面板回归”的混合研究策略。在测度端，严格遵循课程所授的文本测度构建五步法：第一步语料获取（确定文本边界与来源），第二步文本预处理（分词、去噪、词性过滤），第三步特征提取（采用公开、可解释的词典法），第四步指标构建（相对词频标准化），第五步信度与效度检验（折半信度、聚合效度、区分效度、预测效度）。在检验端，构建企业—年度非平衡面板，以OLS回归考察短视测度对研发投入强度的影响，并引入公司固定效应与年度固定效应以缓解遗漏变量偏误。整套流程以Python脚本实现，保证从原始语料到最终结果的可复现性。</w:t>
      </w:r>
    </w:p>
    <w:p>
      <w:pPr>
        <w:pStyle w:val="Heading2"/>
      </w:pPr>
      <w:r>
        <w:rPr>
          <w:rFonts w:ascii="黑体" w:hAnsi="黑体" w:eastAsia="黑体"/>
          <w:b/>
          <w:sz w:val="28"/>
        </w:rPr>
        <w:t>1.4 研究创新与局限</w:t>
      </w:r>
    </w:p>
    <w:p>
      <w:pPr>
        <w:spacing w:after="120"/>
        <w:ind w:firstLine="480"/>
      </w:pPr>
      <w:r>
        <w:rPr>
          <w:rFonts w:ascii="宋体" w:hAnsi="宋体" w:eastAsia="宋体"/>
          <w:b w:val="0"/>
          <w:sz w:val="24"/>
        </w:rPr>
        <w:t>本文的创新主要体现在方法层面：其一，将课程方法论落地为一个完整、可运行、可审计的研究案例，使抽象步骤对应到具体代码与中间产物；其二，在测度构建中同时报告四类质量检验结果，回应了文本测度“是否可信”的核心质疑；其三，提供了企业—年份面板数据集与清晰的数据来源说明，便于同行复现与拓展。局限在于：为完整演示方法流程，本文实证部分采用结构受控的合成演示语料，结论的方向性可信但外部效度有待真实数据验证；词典法对语义依存与否定语境不敏感，后续可引入有监督分类或词向量方法予以改进。</w:t>
      </w:r>
    </w:p>
    <w:p>
      <w:pPr>
        <w:pStyle w:val="Heading1"/>
      </w:pPr>
      <w:r>
        <w:rPr>
          <w:rFonts w:ascii="黑体" w:hAnsi="黑体" w:eastAsia="黑体"/>
          <w:b/>
          <w:sz w:val="32"/>
        </w:rPr>
        <w:t>二、文献综述与理论框架</w:t>
      </w:r>
    </w:p>
    <w:p>
      <w:pPr>
        <w:pStyle w:val="Heading2"/>
      </w:pPr>
      <w:r>
        <w:rPr>
          <w:rFonts w:ascii="黑体" w:hAnsi="黑体" w:eastAsia="黑体"/>
          <w:b/>
          <w:sz w:val="28"/>
        </w:rPr>
        <w:t>2.1 管理者短视主义的相关研究</w:t>
      </w:r>
    </w:p>
    <w:p>
      <w:pPr>
        <w:spacing w:after="120"/>
        <w:ind w:firstLine="480"/>
      </w:pPr>
      <w:r>
        <w:rPr>
          <w:rFonts w:ascii="宋体" w:hAnsi="宋体" w:eastAsia="宋体"/>
          <w:b w:val="0"/>
          <w:sz w:val="24"/>
        </w:rPr>
        <w:t>管理者短视主义指决策者过度重视近期可得收益、低估长期价值的倾向。Stein（1989）从委托—代理视角指出，当管理者面临被替换威胁或短期薪酬激励时，会削减净现值为正但收益滞后的投资项目。后续实证研究从盈余管理、资本配置、股票拆分等角度间接刻画短视，但均非直接测度。随着文本数据兴起，以语言特征推断心理特质成为可行路径：管理者在讨论经营时频繁使用“短期内”“尽快”“立刻”等短期视域词汇，往往折射其时间焦点的偏移。</w:t>
      </w:r>
    </w:p>
    <w:p>
      <w:pPr>
        <w:pStyle w:val="Heading2"/>
      </w:pPr>
      <w:r>
        <w:rPr>
          <w:rFonts w:ascii="黑体" w:hAnsi="黑体" w:eastAsia="黑体"/>
          <w:b/>
          <w:sz w:val="28"/>
        </w:rPr>
        <w:t>2.2 文本分析在管理研究中的测度应用</w:t>
      </w:r>
    </w:p>
    <w:p>
      <w:pPr>
        <w:spacing w:after="120"/>
        <w:ind w:firstLine="480"/>
      </w:pPr>
      <w:r>
        <w:rPr>
          <w:rFonts w:ascii="宋体" w:hAnsi="宋体" w:eastAsia="宋体"/>
          <w:b w:val="0"/>
          <w:sz w:val="24"/>
        </w:rPr>
        <w:t>Loughran与McDonald（2011）的情感词典开启了会计与财务文本量化研究的浪潮；胡楠等（2021）进一步针对中文年报构造短视词典，验证了文本测度对长期导向行为（如研发投入下降、盈余管理上升）的预测力。课程材料系统归纳了文本测度构建的五大步骤与质量评估框架，强调“可复现、可解释、可验证”三条原则，本文即在该框架下展开。</w:t>
      </w:r>
    </w:p>
    <w:p>
      <w:pPr>
        <w:pStyle w:val="Heading2"/>
      </w:pPr>
      <w:r>
        <w:rPr>
          <w:rFonts w:ascii="黑体" w:hAnsi="黑体" w:eastAsia="黑体"/>
          <w:b/>
          <w:sz w:val="28"/>
        </w:rPr>
        <w:t>2.3 理论分析与研究假设</w:t>
      </w:r>
    </w:p>
    <w:p>
      <w:pPr>
        <w:spacing w:after="120"/>
        <w:ind w:firstLine="480"/>
      </w:pPr>
      <w:r>
        <w:rPr>
          <w:rFonts w:ascii="宋体" w:hAnsi="宋体" w:eastAsia="宋体"/>
          <w:b w:val="0"/>
          <w:sz w:val="24"/>
        </w:rPr>
        <w:t>依据高层梯队理论与代理理论，管理者的时间偏好会嵌入战略语言并最终影响资源配置。短视倾向越强，管理者越可能在MD&amp;A中强调短期见效事项，并在实际经营中压缩研发等长期投资。由此提出本文核心假设：H1：管理者短视主义越强，企业研发投入强度越低。同时，鉴于文本测度需满足基本心理计量标准，提出方法假设：H2a：短视测度具有可接受的信度（折半相关经校正后达中等以上）；H2b：短视测度与长期视域测度显著负相关（区分效度），与已知短视强度正相关（聚合效度）；H2c：短视测度能显著负向预测研发投入（预测效度）。</w:t>
      </w:r>
    </w:p>
    <w:p>
      <w:pPr>
        <w:pStyle w:val="Heading1"/>
      </w:pPr>
      <w:r>
        <w:rPr>
          <w:rFonts w:ascii="黑体" w:hAnsi="黑体" w:eastAsia="黑体"/>
          <w:b/>
          <w:sz w:val="32"/>
        </w:rPr>
        <w:t>三、研究设计与NLP测度构建方法</w:t>
      </w:r>
    </w:p>
    <w:p>
      <w:pPr>
        <w:pStyle w:val="Heading2"/>
      </w:pPr>
      <w:r>
        <w:rPr>
          <w:rFonts w:ascii="黑体" w:hAnsi="黑体" w:eastAsia="黑体"/>
          <w:b/>
          <w:sz w:val="28"/>
        </w:rPr>
        <w:t>3.1 总体框架：文本测度构建五步法</w:t>
      </w:r>
    </w:p>
    <w:p>
      <w:pPr>
        <w:spacing w:after="120"/>
        <w:ind w:firstLine="480"/>
      </w:pPr>
      <w:r>
        <w:rPr>
          <w:rFonts w:ascii="宋体" w:hAnsi="宋体" w:eastAsia="宋体"/>
          <w:b w:val="0"/>
          <w:sz w:val="24"/>
        </w:rPr>
        <w:t>参照课程所授范式，本文将管理者短视测度的构建拆解为五个先后衔接、彼此校验的步骤（如图1概念所示，代码见code/目录）：步骤一语料获取，明确“测什么文本”——选定年报MD&amp;A章节，因其由管理者亲自撰写、集中表达经营判断与未来预期，是短视语言的高密度载体；步骤二文本预处理，将非结构化中文文本转为干净词序列；步骤三特征提取，以词典法将词序列映射为短视相关计数；步骤四指标构建，将计数标准化为企业—年度可比测度；步骤五信度与效度检验，对测度做质量评估。五个步骤形成“从语料到证据”的闭环，任一环节均可被审计与复现。</w:t>
      </w:r>
    </w:p>
    <w:p>
      <w:pPr>
        <w:spacing w:after="120"/>
        <w:ind w:firstLine="480"/>
      </w:pPr>
      <w:r>
        <w:rPr>
          <w:rFonts w:ascii="宋体" w:hAnsi="宋体" w:eastAsia="宋体"/>
          <w:b w:val="0"/>
          <w:sz w:val="24"/>
        </w:rPr>
        <w:t>上述五步在代码层面形成一一对应：step1_corpus_acquisition.py负责语料获取（真实或合成），step2_preprocessing.py完成分词与去噪，step3_feature_extraction.py执行词典命中统计，step4_measure_construction.py计算标准化测度并装配财务面板，step5_validity_checks.py输出信效度与回归结果；run_all.py则串联全流程并保证随机种子固定（PYTHONHASHSEED=0、确定性哈希种子），使任何人在任何机器上运行都能得到逐字节一致的产物。这种“步骤—代码—产物”的可追溯映射，正是课程反复强调的“可复现”原则的工程落地：研究者不仅能声称结论，更能把结论的每一步推导交付审计。</w:t>
      </w:r>
    </w:p>
    <w:p>
      <w:pPr>
        <w:pStyle w:val="Heading2"/>
      </w:pPr>
      <w:r>
        <w:rPr>
          <w:rFonts w:ascii="黑体" w:hAnsi="黑体" w:eastAsia="黑体"/>
          <w:b/>
          <w:sz w:val="28"/>
        </w:rPr>
        <w:t>3.2 步骤一：语料获取</w:t>
      </w:r>
    </w:p>
    <w:p>
      <w:pPr>
        <w:spacing w:after="120"/>
        <w:ind w:firstLine="480"/>
      </w:pPr>
      <w:r>
        <w:rPr>
          <w:rFonts w:ascii="宋体" w:hAnsi="宋体" w:eastAsia="宋体"/>
          <w:b w:val="0"/>
          <w:sz w:val="24"/>
        </w:rPr>
        <w:t>语料边界。本文以沪深A股上市公司年度报告中“管理层讨论与分析”（MD&amp;A）章节正文为分析对象。真实数据获取路径为：在巨潮资讯网（www.cninfo.com.cn）按公司代码与报告期下载年度报告PDF，利用PDF解析或现成的MD&amp;A抽取工具（如正则定位“管理层讨论与分析”至“重要事项”之间的文本块）获得纯文本；为批量处理，可借助Python的pdfplumber或第三方金融文本库，并以公司代码—年度为唯一键组织语料。数据清洗需剔除致歉声明、表格与页眉页脚等噪声。考虑到课程演示的可复现性，本文在code/step1中内置了结构受控的合成语料生成器：以120家模拟公司、2019—2023共5年、每篇约520个中性填充词，并按预设的潜在短视强度注入不同数量的短期/长期视域词汇，从而在不依赖外部下载的情况下完整跑通后续流程。合成语料仅用于方法教学，真实回归需将corpus.jsonl替换为真实文本，字段（firm_id、year、text）保持一致即可复用。</w:t>
      </w:r>
    </w:p>
    <w:p>
      <w:pPr>
        <w:pStyle w:val="Heading2"/>
      </w:pPr>
      <w:r>
        <w:rPr>
          <w:rFonts w:ascii="黑体" w:hAnsi="黑体" w:eastAsia="黑体"/>
          <w:b/>
          <w:sz w:val="28"/>
        </w:rPr>
        <w:t>3.3 步骤二：文本预处理</w:t>
      </w:r>
    </w:p>
    <w:p>
      <w:pPr>
        <w:spacing w:after="120"/>
        <w:ind w:firstLine="480"/>
      </w:pPr>
      <w:r>
        <w:rPr>
          <w:rFonts w:ascii="宋体" w:hAnsi="宋体" w:eastAsia="宋体"/>
          <w:b w:val="0"/>
          <w:sz w:val="24"/>
        </w:rPr>
        <w:t>预处理旨在降低噪声、提升词典命中精度。本文采用jieba中文分词工具，对每篇MD&amp;A文本依次执行：（1）分词与词性标注（jieba.posseg），保留名词（n*）、动词（v*）、形容词（a*）与习语（i*），过滤代词、连词、介词、标点等虚词，以减少对短视语义无贡献的词干扰；（2）去除纯数字、标点与空白；（3）剔除长度≤1的单字token；（4）基于停用词表（dicts/stopwords.txt）去除“的、了、公司、报告”等高频但无判别力的词。最终得到每篇文档的干净词序列tokens及其词数ntoken，作为特征提取的输入。词性过滤的必要性在于：短视词典多为动词与名词性短语（如“尽快”“短期”），限定词性可显著降低误命中率。</w:t>
      </w:r>
    </w:p>
    <w:p>
      <w:pPr>
        <w:pStyle w:val="Heading2"/>
      </w:pPr>
      <w:r>
        <w:rPr>
          <w:rFonts w:ascii="黑体" w:hAnsi="黑体" w:eastAsia="黑体"/>
          <w:b/>
          <w:sz w:val="28"/>
        </w:rPr>
        <w:t>3.4 步骤三：特征提取（词典法）</w:t>
      </w:r>
    </w:p>
    <w:p>
      <w:pPr>
        <w:spacing w:after="120"/>
        <w:ind w:firstLine="480"/>
      </w:pPr>
      <w:r>
        <w:rPr>
          <w:rFonts w:ascii="宋体" w:hAnsi="宋体" w:eastAsia="宋体"/>
          <w:b w:val="0"/>
          <w:sz w:val="24"/>
        </w:rPr>
        <w:t>特征提取采用词典法（Dictionary/Lexicon Approach），即在干净词序列上统计短视词典的命中情况。本文短视词典共43词，涵盖“短期内、短期、近期、眼前、当前、立刻、立即、尽快、加速、加快、抓紧、亟需、亟待、急功近利、急于求成、短平快”等典型短期视域表达（完整清单见dicts/short_term_dict.txt，参考胡楠等2021的构词思路整理）。为进行信度检验，将词典按词序奇偶等分为A、B两组，分别统计每组命中数short_hits_a与short_hits_b；同时以20词的“长期视域词典”（长远、长期、战略、可持续、久久为功、行稳致远等）统计long_hits，用于区分效度。词典法的优势是透明、可解释、零训练成本，其局限是对否定语境（如“不急于求成”）与语义依存不敏感——这正是步骤五需以多种效度加以约束、且未来可有监督/词向量法补充的原因。需要说明的是，本文也已在step3中预留了“有监督分类”与“词嵌入相似度”两类扩展接口注释，便于后续替换特征提取方式而不改动上下游结构。</w:t>
      </w:r>
    </w:p>
    <w:p>
      <w:pPr>
        <w:pStyle w:val="Heading2"/>
      </w:pPr>
      <w:r>
        <w:rPr>
          <w:rFonts w:ascii="黑体" w:hAnsi="黑体" w:eastAsia="黑体"/>
          <w:b/>
          <w:sz w:val="28"/>
        </w:rPr>
        <w:t>3.5 步骤四：指标构建</w:t>
      </w:r>
    </w:p>
    <w:p>
      <w:pPr>
        <w:spacing w:after="120"/>
        <w:ind w:firstLine="480"/>
      </w:pPr>
      <w:r>
        <w:rPr>
          <w:rFonts w:ascii="宋体" w:hAnsi="宋体" w:eastAsia="宋体"/>
          <w:b w:val="0"/>
          <w:sz w:val="24"/>
        </w:rPr>
        <w:t>绝对词数受篇幅影响，需标准化。本文定义企业i在年度t的管理者短视测度为：ShortTerm_{i,t} = (short_hits_{i,t} / ntoken_{i,t}) × 1000，即“每千词短视词典命中数”，取值为正，数值越大代表MD&amp;A语言越偏向短期视域。该相对词频口径与胡楠等（2021）一致，可消除年报篇幅差异、实现跨公司跨年度可比。为配套实证，步骤四同时构造企业—年度财务面板：被解释变量RD_intensity为研发投入强度（研发投入/营业收入，%），控制变量包括公司规模Size（总资产对数）、盈利能力ROA、财务杠杆Lev、上市年龄Age、营业收入增长率Growth与现金流比率Cash。演示数据中，RD_intensity按“随ShortTerm上升而下降＋控制变量效应＋随机噪声”的结构生成，以验证理论预期的负向关系；真实研究以CSMAR/Wind对应字段替换即可。最终输出output/panel_measure.csv（企业—年份面板）与output/panel_measure.xlsx两份结果表。</w:t>
      </w:r>
    </w:p>
    <w:p>
      <w:pPr>
        <w:pStyle w:val="Heading2"/>
      </w:pPr>
      <w:r>
        <w:rPr>
          <w:rFonts w:ascii="黑体" w:hAnsi="黑体" w:eastAsia="黑体"/>
          <w:b/>
          <w:sz w:val="28"/>
        </w:rPr>
        <w:t>3.6 步骤五：信度与效度检验</w:t>
      </w:r>
    </w:p>
    <w:p>
      <w:pPr>
        <w:spacing w:after="120"/>
        <w:ind w:firstLine="480"/>
      </w:pPr>
      <w:r>
        <w:rPr>
          <w:rFonts w:ascii="宋体" w:hAnsi="宋体" w:eastAsia="宋体"/>
          <w:b w:val="0"/>
          <w:sz w:val="24"/>
        </w:rPr>
        <w:t>文本测度的价值取决于其质量。本文沿课程框架做四类检验：（1）信度（内部一致性）——折半相关：计算ShortTerm_A与ShortTerm_B的Pearson相关，并以Spearman-Brown公式校正得到全词典信度；（2）聚合效度——ShortTerm与已知潜在短视强度（合成数据的true_intensity，真实研究中可代以独立短视代理，如电话会议短视词频）的相关；（3）区分效度——ShortTerm与LongTerm（长期视域测度）的相关，预期为负向或偏低，证明“短视”与“长期主义”是可区分构念；（4）预测效度——以OLS回归检验ShortTerm对RD_intensity的负向预测力，并依次加入公司固定效应与年度固定效应（模型M2）以增强因果识别。四类检验的结果构成本文实证分析的基石。</w:t>
      </w:r>
    </w:p>
    <w:p>
      <w:pPr>
        <w:pStyle w:val="Heading2"/>
      </w:pPr>
      <w:r>
        <w:rPr>
          <w:rFonts w:ascii="黑体" w:hAnsi="黑体" w:eastAsia="黑体"/>
          <w:b/>
          <w:sz w:val="28"/>
        </w:rPr>
        <w:t>3.7 数据来源与变量定义</w:t>
      </w:r>
    </w:p>
    <w:p>
      <w:pPr>
        <w:spacing w:after="120"/>
        <w:ind w:firstLine="480"/>
      </w:pPr>
      <w:r>
        <w:rPr>
          <w:rFonts w:ascii="宋体" w:hAnsi="宋体" w:eastAsia="宋体"/>
          <w:b w:val="0"/>
          <w:sz w:val="24"/>
        </w:rPr>
        <w:t>数据来源分两层：文本侧来自上市公司年报MD&amp;A（真实来源：巨潮资讯网；演示来源：合成生成器），财务侧来自国泰安CSMAR或Wind数据库（演示来源：结构生成）。变量定义如表所示。样本为120家模拟公司×2019—2023年，共600个公司—年度观测（演示规模，真实研究可扩展至全A股）。</w:t>
      </w:r>
    </w:p>
    <w:p>
      <w:pPr>
        <w:jc w:val="center"/>
      </w:pPr>
      <w:r>
        <w:rPr>
          <w:rFonts w:ascii="黑体" w:hAnsi="黑体" w:eastAsia="黑体"/>
          <w:b/>
          <w:sz w:val="22"/>
        </w:rPr>
        <w:t>表1 主要变量定义</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0"/>
              </w:rPr>
            </w:r>
          </w:p>
        </w:tc>
        <w:tc>
          <w:tcPr>
            <w:tcW w:type="dxa" w:w="2160"/>
          </w:tcPr>
          <w:p>
            <w:r>
              <w:rPr>
                <w:rFonts w:ascii="宋体" w:hAnsi="宋体" w:eastAsia="宋体"/>
                <w:b w:val="0"/>
                <w:sz w:val="20"/>
              </w:rPr>
              <w:t>变量</w:t>
            </w:r>
          </w:p>
        </w:tc>
        <w:tc>
          <w:tcPr>
            <w:tcW w:type="dxa" w:w="2160"/>
          </w:tcPr>
          <w:p>
            <w:r>
              <w:rPr>
                <w:rFonts w:ascii="宋体" w:hAnsi="宋体" w:eastAsia="宋体"/>
                <w:b w:val="0"/>
                <w:sz w:val="20"/>
              </w:rPr>
              <w:t>含义</w:t>
            </w:r>
          </w:p>
        </w:tc>
        <w:tc>
          <w:tcPr>
            <w:tcW w:type="dxa" w:w="2160"/>
          </w:tcPr>
          <w:p>
            <w:r>
              <w:rPr>
                <w:rFonts w:ascii="宋体" w:hAnsi="宋体" w:eastAsia="宋体"/>
                <w:b w:val="0"/>
                <w:sz w:val="20"/>
              </w:rPr>
              <w:t>口径</w:t>
            </w:r>
          </w:p>
        </w:tc>
      </w:tr>
      <w:tr>
        <w:tc>
          <w:tcPr>
            <w:tcW w:type="dxa" w:w="2160"/>
          </w:tcPr>
          <w:p>
            <w:r>
              <w:rPr>
                <w:rFonts w:ascii="宋体" w:hAnsi="宋体" w:eastAsia="宋体"/>
                <w:b w:val="0"/>
                <w:sz w:val="20"/>
              </w:rPr>
              <w:t>0</w:t>
            </w:r>
          </w:p>
        </w:tc>
        <w:tc>
          <w:tcPr>
            <w:tcW w:type="dxa" w:w="2160"/>
          </w:tcPr>
          <w:p>
            <w:r>
              <w:rPr>
                <w:rFonts w:ascii="宋体" w:hAnsi="宋体" w:eastAsia="宋体"/>
                <w:b w:val="0"/>
                <w:sz w:val="20"/>
              </w:rPr>
              <w:t>ShortTerm</w:t>
            </w:r>
          </w:p>
        </w:tc>
        <w:tc>
          <w:tcPr>
            <w:tcW w:type="dxa" w:w="2160"/>
          </w:tcPr>
          <w:p>
            <w:r>
              <w:rPr>
                <w:rFonts w:ascii="宋体" w:hAnsi="宋体" w:eastAsia="宋体"/>
                <w:b w:val="0"/>
                <w:sz w:val="20"/>
              </w:rPr>
              <w:t>管理者短视测度(每千词短视命中)</w:t>
            </w:r>
          </w:p>
        </w:tc>
        <w:tc>
          <w:tcPr>
            <w:tcW w:type="dxa" w:w="2160"/>
          </w:tcPr>
          <w:p>
            <w:r>
              <w:rPr>
                <w:rFonts w:ascii="宋体" w:hAnsi="宋体" w:eastAsia="宋体"/>
                <w:b w:val="0"/>
                <w:sz w:val="20"/>
              </w:rPr>
              <w:t>short_hits/ntoken×1000</w:t>
            </w:r>
          </w:p>
        </w:tc>
      </w:tr>
      <w:tr>
        <w:tc>
          <w:tcPr>
            <w:tcW w:type="dxa" w:w="2160"/>
          </w:tcPr>
          <w:p>
            <w:r>
              <w:rPr>
                <w:rFonts w:ascii="宋体" w:hAnsi="宋体" w:eastAsia="宋体"/>
                <w:b w:val="0"/>
                <w:sz w:val="20"/>
              </w:rPr>
              <w:t>1</w:t>
            </w:r>
          </w:p>
        </w:tc>
        <w:tc>
          <w:tcPr>
            <w:tcW w:type="dxa" w:w="2160"/>
          </w:tcPr>
          <w:p>
            <w:r>
              <w:rPr>
                <w:rFonts w:ascii="宋体" w:hAnsi="宋体" w:eastAsia="宋体"/>
                <w:b w:val="0"/>
                <w:sz w:val="20"/>
              </w:rPr>
              <w:t>LongTerm</w:t>
            </w:r>
          </w:p>
        </w:tc>
        <w:tc>
          <w:tcPr>
            <w:tcW w:type="dxa" w:w="2160"/>
          </w:tcPr>
          <w:p>
            <w:r>
              <w:rPr>
                <w:rFonts w:ascii="宋体" w:hAnsi="宋体" w:eastAsia="宋体"/>
                <w:b w:val="0"/>
                <w:sz w:val="20"/>
              </w:rPr>
              <w:t>长期视域测度(每千词长期命中)</w:t>
            </w:r>
          </w:p>
        </w:tc>
        <w:tc>
          <w:tcPr>
            <w:tcW w:type="dxa" w:w="2160"/>
          </w:tcPr>
          <w:p>
            <w:r>
              <w:rPr>
                <w:rFonts w:ascii="宋体" w:hAnsi="宋体" w:eastAsia="宋体"/>
                <w:b w:val="0"/>
                <w:sz w:val="20"/>
              </w:rPr>
              <w:t>long_hits/ntoken×1000</w:t>
            </w:r>
          </w:p>
        </w:tc>
      </w:tr>
      <w:tr>
        <w:tc>
          <w:tcPr>
            <w:tcW w:type="dxa" w:w="2160"/>
          </w:tcPr>
          <w:p>
            <w:r>
              <w:rPr>
                <w:rFonts w:ascii="宋体" w:hAnsi="宋体" w:eastAsia="宋体"/>
                <w:b w:val="0"/>
                <w:sz w:val="20"/>
              </w:rPr>
              <w:t>2</w:t>
            </w:r>
          </w:p>
        </w:tc>
        <w:tc>
          <w:tcPr>
            <w:tcW w:type="dxa" w:w="2160"/>
          </w:tcPr>
          <w:p>
            <w:r>
              <w:rPr>
                <w:rFonts w:ascii="宋体" w:hAnsi="宋体" w:eastAsia="宋体"/>
                <w:b w:val="0"/>
                <w:sz w:val="20"/>
              </w:rPr>
              <w:t>RD_intensity</w:t>
            </w:r>
          </w:p>
        </w:tc>
        <w:tc>
          <w:tcPr>
            <w:tcW w:type="dxa" w:w="2160"/>
          </w:tcPr>
          <w:p>
            <w:r>
              <w:rPr>
                <w:rFonts w:ascii="宋体" w:hAnsi="宋体" w:eastAsia="宋体"/>
                <w:b w:val="0"/>
                <w:sz w:val="20"/>
              </w:rPr>
              <w:t>研发投入强度(%)</w:t>
            </w:r>
          </w:p>
        </w:tc>
        <w:tc>
          <w:tcPr>
            <w:tcW w:type="dxa" w:w="2160"/>
          </w:tcPr>
          <w:p>
            <w:r>
              <w:rPr>
                <w:rFonts w:ascii="宋体" w:hAnsi="宋体" w:eastAsia="宋体"/>
                <w:b w:val="0"/>
                <w:sz w:val="20"/>
              </w:rPr>
              <w:t>研发投入/营业收入×100</w:t>
            </w:r>
          </w:p>
        </w:tc>
      </w:tr>
      <w:tr>
        <w:tc>
          <w:tcPr>
            <w:tcW w:type="dxa" w:w="2160"/>
          </w:tcPr>
          <w:p>
            <w:r>
              <w:rPr>
                <w:rFonts w:ascii="宋体" w:hAnsi="宋体" w:eastAsia="宋体"/>
                <w:b w:val="0"/>
                <w:sz w:val="20"/>
              </w:rPr>
              <w:t>3</w:t>
            </w:r>
          </w:p>
        </w:tc>
        <w:tc>
          <w:tcPr>
            <w:tcW w:type="dxa" w:w="2160"/>
          </w:tcPr>
          <w:p>
            <w:r>
              <w:rPr>
                <w:rFonts w:ascii="宋体" w:hAnsi="宋体" w:eastAsia="宋体"/>
                <w:b w:val="0"/>
                <w:sz w:val="20"/>
              </w:rPr>
              <w:t>Size</w:t>
            </w:r>
          </w:p>
        </w:tc>
        <w:tc>
          <w:tcPr>
            <w:tcW w:type="dxa" w:w="2160"/>
          </w:tcPr>
          <w:p>
            <w:r>
              <w:rPr>
                <w:rFonts w:ascii="宋体" w:hAnsi="宋体" w:eastAsia="宋体"/>
                <w:b w:val="0"/>
                <w:sz w:val="20"/>
              </w:rPr>
              <w:t>公司规模(总资产对数)</w:t>
            </w:r>
          </w:p>
        </w:tc>
        <w:tc>
          <w:tcPr>
            <w:tcW w:type="dxa" w:w="2160"/>
          </w:tcPr>
          <w:p>
            <w:r>
              <w:rPr>
                <w:rFonts w:ascii="宋体" w:hAnsi="宋体" w:eastAsia="宋体"/>
                <w:b w:val="0"/>
                <w:sz w:val="20"/>
              </w:rPr>
              <w:t>ln(总资产)</w:t>
            </w:r>
          </w:p>
        </w:tc>
      </w:tr>
      <w:tr>
        <w:tc>
          <w:tcPr>
            <w:tcW w:type="dxa" w:w="2160"/>
          </w:tcPr>
          <w:p>
            <w:r>
              <w:rPr>
                <w:rFonts w:ascii="宋体" w:hAnsi="宋体" w:eastAsia="宋体"/>
                <w:b w:val="0"/>
                <w:sz w:val="20"/>
              </w:rPr>
              <w:t>4</w:t>
            </w:r>
          </w:p>
        </w:tc>
        <w:tc>
          <w:tcPr>
            <w:tcW w:type="dxa" w:w="2160"/>
          </w:tcPr>
          <w:p>
            <w:r>
              <w:rPr>
                <w:rFonts w:ascii="宋体" w:hAnsi="宋体" w:eastAsia="宋体"/>
                <w:b w:val="0"/>
                <w:sz w:val="20"/>
              </w:rPr>
              <w:t>ROA</w:t>
            </w:r>
          </w:p>
        </w:tc>
        <w:tc>
          <w:tcPr>
            <w:tcW w:type="dxa" w:w="2160"/>
          </w:tcPr>
          <w:p>
            <w:r>
              <w:rPr>
                <w:rFonts w:ascii="宋体" w:hAnsi="宋体" w:eastAsia="宋体"/>
                <w:b w:val="0"/>
                <w:sz w:val="20"/>
              </w:rPr>
              <w:t>总资产收益率</w:t>
            </w:r>
          </w:p>
        </w:tc>
        <w:tc>
          <w:tcPr>
            <w:tcW w:type="dxa" w:w="2160"/>
          </w:tcPr>
          <w:p>
            <w:r>
              <w:rPr>
                <w:rFonts w:ascii="宋体" w:hAnsi="宋体" w:eastAsia="宋体"/>
                <w:b w:val="0"/>
                <w:sz w:val="20"/>
              </w:rPr>
              <w:t>净利润/总资产</w:t>
            </w:r>
          </w:p>
        </w:tc>
      </w:tr>
      <w:tr>
        <w:tc>
          <w:tcPr>
            <w:tcW w:type="dxa" w:w="2160"/>
          </w:tcPr>
          <w:p>
            <w:r>
              <w:rPr>
                <w:rFonts w:ascii="宋体" w:hAnsi="宋体" w:eastAsia="宋体"/>
                <w:b w:val="0"/>
                <w:sz w:val="20"/>
              </w:rPr>
              <w:t>5</w:t>
            </w:r>
          </w:p>
        </w:tc>
        <w:tc>
          <w:tcPr>
            <w:tcW w:type="dxa" w:w="2160"/>
          </w:tcPr>
          <w:p>
            <w:r>
              <w:rPr>
                <w:rFonts w:ascii="宋体" w:hAnsi="宋体" w:eastAsia="宋体"/>
                <w:b w:val="0"/>
                <w:sz w:val="20"/>
              </w:rPr>
              <w:t>Lev</w:t>
            </w:r>
          </w:p>
        </w:tc>
        <w:tc>
          <w:tcPr>
            <w:tcW w:type="dxa" w:w="2160"/>
          </w:tcPr>
          <w:p>
            <w:r>
              <w:rPr>
                <w:rFonts w:ascii="宋体" w:hAnsi="宋体" w:eastAsia="宋体"/>
                <w:b w:val="0"/>
                <w:sz w:val="20"/>
              </w:rPr>
              <w:t>资产负债率</w:t>
            </w:r>
          </w:p>
        </w:tc>
        <w:tc>
          <w:tcPr>
            <w:tcW w:type="dxa" w:w="2160"/>
          </w:tcPr>
          <w:p>
            <w:r>
              <w:rPr>
                <w:rFonts w:ascii="宋体" w:hAnsi="宋体" w:eastAsia="宋体"/>
                <w:b w:val="0"/>
                <w:sz w:val="20"/>
              </w:rPr>
              <w:t>总负债/总资产</w:t>
            </w:r>
          </w:p>
        </w:tc>
      </w:tr>
      <w:tr>
        <w:tc>
          <w:tcPr>
            <w:tcW w:type="dxa" w:w="2160"/>
          </w:tcPr>
          <w:p>
            <w:r>
              <w:rPr>
                <w:rFonts w:ascii="宋体" w:hAnsi="宋体" w:eastAsia="宋体"/>
                <w:b w:val="0"/>
                <w:sz w:val="20"/>
              </w:rPr>
              <w:t>6</w:t>
            </w:r>
          </w:p>
        </w:tc>
        <w:tc>
          <w:tcPr>
            <w:tcW w:type="dxa" w:w="2160"/>
          </w:tcPr>
          <w:p>
            <w:r>
              <w:rPr>
                <w:rFonts w:ascii="宋体" w:hAnsi="宋体" w:eastAsia="宋体"/>
                <w:b w:val="0"/>
                <w:sz w:val="20"/>
              </w:rPr>
              <w:t>Age</w:t>
            </w:r>
          </w:p>
        </w:tc>
        <w:tc>
          <w:tcPr>
            <w:tcW w:type="dxa" w:w="2160"/>
          </w:tcPr>
          <w:p>
            <w:r>
              <w:rPr>
                <w:rFonts w:ascii="宋体" w:hAnsi="宋体" w:eastAsia="宋体"/>
                <w:b w:val="0"/>
                <w:sz w:val="20"/>
              </w:rPr>
              <w:t>上市年限</w:t>
            </w:r>
          </w:p>
        </w:tc>
        <w:tc>
          <w:tcPr>
            <w:tcW w:type="dxa" w:w="2160"/>
          </w:tcPr>
          <w:p>
            <w:r>
              <w:rPr>
                <w:rFonts w:ascii="宋体" w:hAnsi="宋体" w:eastAsia="宋体"/>
                <w:b w:val="0"/>
                <w:sz w:val="20"/>
              </w:rPr>
              <w:t>当年-上市年+1</w:t>
            </w:r>
          </w:p>
        </w:tc>
      </w:tr>
      <w:tr>
        <w:tc>
          <w:tcPr>
            <w:tcW w:type="dxa" w:w="2160"/>
          </w:tcPr>
          <w:p>
            <w:r>
              <w:rPr>
                <w:rFonts w:ascii="宋体" w:hAnsi="宋体" w:eastAsia="宋体"/>
                <w:b w:val="0"/>
                <w:sz w:val="20"/>
              </w:rPr>
              <w:t>7</w:t>
            </w:r>
          </w:p>
        </w:tc>
        <w:tc>
          <w:tcPr>
            <w:tcW w:type="dxa" w:w="2160"/>
          </w:tcPr>
          <w:p>
            <w:r>
              <w:rPr>
                <w:rFonts w:ascii="宋体" w:hAnsi="宋体" w:eastAsia="宋体"/>
                <w:b w:val="0"/>
                <w:sz w:val="20"/>
              </w:rPr>
              <w:t>Growth</w:t>
            </w:r>
          </w:p>
        </w:tc>
        <w:tc>
          <w:tcPr>
            <w:tcW w:type="dxa" w:w="2160"/>
          </w:tcPr>
          <w:p>
            <w:r>
              <w:rPr>
                <w:rFonts w:ascii="宋体" w:hAnsi="宋体" w:eastAsia="宋体"/>
                <w:b w:val="0"/>
                <w:sz w:val="20"/>
              </w:rPr>
              <w:t>营业收入增长率</w:t>
            </w:r>
          </w:p>
        </w:tc>
        <w:tc>
          <w:tcPr>
            <w:tcW w:type="dxa" w:w="2160"/>
          </w:tcPr>
          <w:p>
            <w:r>
              <w:rPr>
                <w:rFonts w:ascii="宋体" w:hAnsi="宋体" w:eastAsia="宋体"/>
                <w:b w:val="0"/>
                <w:sz w:val="20"/>
              </w:rPr>
              <w:t>(营收_t-营收_t-1)/营收_t-1</w:t>
            </w:r>
          </w:p>
        </w:tc>
      </w:tr>
      <w:tr>
        <w:tc>
          <w:tcPr>
            <w:tcW w:type="dxa" w:w="2160"/>
          </w:tcPr>
          <w:p>
            <w:r>
              <w:rPr>
                <w:rFonts w:ascii="宋体" w:hAnsi="宋体" w:eastAsia="宋体"/>
                <w:b w:val="0"/>
                <w:sz w:val="20"/>
              </w:rPr>
              <w:t>8</w:t>
            </w:r>
          </w:p>
        </w:tc>
        <w:tc>
          <w:tcPr>
            <w:tcW w:type="dxa" w:w="2160"/>
          </w:tcPr>
          <w:p>
            <w:r>
              <w:rPr>
                <w:rFonts w:ascii="宋体" w:hAnsi="宋体" w:eastAsia="宋体"/>
                <w:b w:val="0"/>
                <w:sz w:val="20"/>
              </w:rPr>
              <w:t>Cash</w:t>
            </w:r>
          </w:p>
        </w:tc>
        <w:tc>
          <w:tcPr>
            <w:tcW w:type="dxa" w:w="2160"/>
          </w:tcPr>
          <w:p>
            <w:r>
              <w:rPr>
                <w:rFonts w:ascii="宋体" w:hAnsi="宋体" w:eastAsia="宋体"/>
                <w:b w:val="0"/>
                <w:sz w:val="20"/>
              </w:rPr>
              <w:t>经营现金流/总资产</w:t>
            </w:r>
          </w:p>
        </w:tc>
        <w:tc>
          <w:tcPr>
            <w:tcW w:type="dxa" w:w="2160"/>
          </w:tcPr>
          <w:p>
            <w:r>
              <w:rPr>
                <w:rFonts w:ascii="宋体" w:hAnsi="宋体" w:eastAsia="宋体"/>
                <w:b w:val="0"/>
                <w:sz w:val="20"/>
              </w:rPr>
              <w:t>经营现金流/总资产</w:t>
            </w:r>
          </w:p>
        </w:tc>
      </w:tr>
    </w:tbl>
    <w:p/>
    <w:p>
      <w:pPr>
        <w:pStyle w:val="Heading1"/>
      </w:pPr>
      <w:r>
        <w:rPr>
          <w:rFonts w:ascii="黑体" w:hAnsi="黑体" w:eastAsia="黑体"/>
          <w:b/>
          <w:sz w:val="32"/>
        </w:rPr>
        <w:t>四、实证分析</w:t>
      </w:r>
    </w:p>
    <w:p>
      <w:pPr>
        <w:spacing w:after="120"/>
        <w:ind w:firstLine="480"/>
      </w:pPr>
      <w:r>
        <w:rPr>
          <w:rFonts w:ascii="宋体" w:hAnsi="宋体" w:eastAsia="宋体"/>
          <w:b w:val="0"/>
          <w:sz w:val="24"/>
        </w:rPr>
        <w:t>本章基于第三章程式化构建的ShortTerm测度与配套财务面板，依次汇报描述性统计、信度与效度检验、主回归结果及稳健性讨论。为保证论证透明，本章所有数字均直接读取output/目录下的机器产出文件（descriptive_stats.csv、validity_correlations.csv、regression_results.csv），与代码运行结果严格一致，避免人工转抄带来的误差。样本为120家模拟公司、2019—2023年构成的600个公司—年度观测。</w:t>
      </w:r>
    </w:p>
    <w:p>
      <w:pPr>
        <w:pStyle w:val="Heading2"/>
      </w:pPr>
      <w:r>
        <w:rPr>
          <w:rFonts w:ascii="黑体" w:hAnsi="黑体" w:eastAsia="黑体"/>
          <w:b/>
          <w:sz w:val="28"/>
        </w:rPr>
        <w:t>4.1 描述性统计</w:t>
      </w:r>
    </w:p>
    <w:p>
      <w:pPr>
        <w:spacing w:after="120"/>
        <w:ind w:firstLine="480"/>
      </w:pPr>
      <w:r>
        <w:rPr>
          <w:rFonts w:ascii="宋体" w:hAnsi="宋体" w:eastAsia="宋体"/>
          <w:b w:val="0"/>
          <w:sz w:val="24"/>
        </w:rPr>
        <w:t>表2报告了主要变量的描述性统计。管理者短视测度ShortTerm的均值为34.26（每千词），标准差18.37，最小值0、最大值92.39，四分位距介于21.51与48.39之间，分布跨度大且右偏，说明样本公司在时间焦点上存在明显异质性：部分公司几乎不使用短期化表述，而部分公司的短视词频接近样本均值的近三倍；长期视域测度LongTerm均值为41.57，与短视测度量级相近。被解释变量RD_intensity（研发投入强度）均值为12.42%、标准差2.76，最小值3.31%、最大值18.84%，说明样本内研发投入水平存在充分变异。控制变量方面，公司规模（Size）均值21.96，资产收益率（ROA）均值3.9%，资产负债率（Lev）均值45.1%，上市年龄（Age）均值12.9年，营收成长性（Growth）均值12.0%，现金流比率（Cash）均值4.9%，各变量分布合理、无异常极端值。描述性统计确认了数据的基本合理性与变异充足性，为后续回归识别提供了基础。</w:t>
      </w:r>
    </w:p>
    <w:p>
      <w:pPr>
        <w:jc w:val="center"/>
      </w:pPr>
      <w:r>
        <w:rPr>
          <w:rFonts w:ascii="黑体" w:hAnsi="黑体" w:eastAsia="黑体"/>
          <w:b/>
          <w:sz w:val="22"/>
        </w:rPr>
        <w:t>表2 描述性统计（N=600）</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b w:val="0"/>
                <w:sz w:val="20"/>
              </w:rPr>
            </w:r>
          </w:p>
        </w:tc>
        <w:tc>
          <w:tcPr>
            <w:tcW w:type="dxa" w:w="864"/>
          </w:tcPr>
          <w:p>
            <w:r>
              <w:rPr>
                <w:rFonts w:ascii="宋体" w:hAnsi="宋体" w:eastAsia="宋体"/>
                <w:b w:val="0"/>
                <w:sz w:val="20"/>
              </w:rPr>
              <w:t>ShortTerm</w:t>
            </w:r>
          </w:p>
        </w:tc>
        <w:tc>
          <w:tcPr>
            <w:tcW w:type="dxa" w:w="864"/>
          </w:tcPr>
          <w:p>
            <w:r>
              <w:rPr>
                <w:rFonts w:ascii="宋体" w:hAnsi="宋体" w:eastAsia="宋体"/>
                <w:b w:val="0"/>
                <w:sz w:val="20"/>
              </w:rPr>
              <w:t>LongTerm</w:t>
            </w:r>
          </w:p>
        </w:tc>
        <w:tc>
          <w:tcPr>
            <w:tcW w:type="dxa" w:w="864"/>
          </w:tcPr>
          <w:p>
            <w:r>
              <w:rPr>
                <w:rFonts w:ascii="宋体" w:hAnsi="宋体" w:eastAsia="宋体"/>
                <w:b w:val="0"/>
                <w:sz w:val="20"/>
              </w:rPr>
              <w:t>RD_intensity</w:t>
            </w:r>
          </w:p>
        </w:tc>
        <w:tc>
          <w:tcPr>
            <w:tcW w:type="dxa" w:w="864"/>
          </w:tcPr>
          <w:p>
            <w:r>
              <w:rPr>
                <w:rFonts w:ascii="宋体" w:hAnsi="宋体" w:eastAsia="宋体"/>
                <w:b w:val="0"/>
                <w:sz w:val="20"/>
              </w:rPr>
              <w:t>Size</w:t>
            </w:r>
          </w:p>
        </w:tc>
        <w:tc>
          <w:tcPr>
            <w:tcW w:type="dxa" w:w="864"/>
          </w:tcPr>
          <w:p>
            <w:r>
              <w:rPr>
                <w:rFonts w:ascii="宋体" w:hAnsi="宋体" w:eastAsia="宋体"/>
                <w:b w:val="0"/>
                <w:sz w:val="20"/>
              </w:rPr>
              <w:t>ROA</w:t>
            </w:r>
          </w:p>
        </w:tc>
        <w:tc>
          <w:tcPr>
            <w:tcW w:type="dxa" w:w="864"/>
          </w:tcPr>
          <w:p>
            <w:r>
              <w:rPr>
                <w:rFonts w:ascii="宋体" w:hAnsi="宋体" w:eastAsia="宋体"/>
                <w:b w:val="0"/>
                <w:sz w:val="20"/>
              </w:rPr>
              <w:t>Lev</w:t>
            </w:r>
          </w:p>
        </w:tc>
        <w:tc>
          <w:tcPr>
            <w:tcW w:type="dxa" w:w="864"/>
          </w:tcPr>
          <w:p>
            <w:r>
              <w:rPr>
                <w:rFonts w:ascii="宋体" w:hAnsi="宋体" w:eastAsia="宋体"/>
                <w:b w:val="0"/>
                <w:sz w:val="20"/>
              </w:rPr>
              <w:t>Age</w:t>
            </w:r>
          </w:p>
        </w:tc>
        <w:tc>
          <w:tcPr>
            <w:tcW w:type="dxa" w:w="864"/>
          </w:tcPr>
          <w:p>
            <w:r>
              <w:rPr>
                <w:rFonts w:ascii="宋体" w:hAnsi="宋体" w:eastAsia="宋体"/>
                <w:b w:val="0"/>
                <w:sz w:val="20"/>
              </w:rPr>
              <w:t>Growth</w:t>
            </w:r>
          </w:p>
        </w:tc>
        <w:tc>
          <w:tcPr>
            <w:tcW w:type="dxa" w:w="864"/>
          </w:tcPr>
          <w:p>
            <w:r>
              <w:rPr>
                <w:rFonts w:ascii="宋体" w:hAnsi="宋体" w:eastAsia="宋体"/>
                <w:b w:val="0"/>
                <w:sz w:val="20"/>
              </w:rPr>
              <w:t>Cash</w:t>
            </w:r>
          </w:p>
        </w:tc>
      </w:tr>
      <w:tr>
        <w:tc>
          <w:tcPr>
            <w:tcW w:type="dxa" w:w="864"/>
          </w:tcPr>
          <w:p>
            <w:r>
              <w:rPr>
                <w:rFonts w:ascii="宋体" w:hAnsi="宋体" w:eastAsia="宋体"/>
                <w:b w:val="0"/>
                <w:sz w:val="20"/>
              </w:rPr>
              <w:t>count</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c>
          <w:tcPr>
            <w:tcW w:type="dxa" w:w="864"/>
          </w:tcPr>
          <w:p>
            <w:r>
              <w:rPr>
                <w:rFonts w:ascii="宋体" w:hAnsi="宋体" w:eastAsia="宋体"/>
                <w:b w:val="0"/>
                <w:sz w:val="20"/>
              </w:rPr>
              <w:t>600.000</w:t>
            </w:r>
          </w:p>
        </w:tc>
      </w:tr>
      <w:tr>
        <w:tc>
          <w:tcPr>
            <w:tcW w:type="dxa" w:w="864"/>
          </w:tcPr>
          <w:p>
            <w:r>
              <w:rPr>
                <w:rFonts w:ascii="宋体" w:hAnsi="宋体" w:eastAsia="宋体"/>
                <w:b w:val="0"/>
                <w:sz w:val="20"/>
              </w:rPr>
              <w:t>mean</w:t>
            </w:r>
          </w:p>
        </w:tc>
        <w:tc>
          <w:tcPr>
            <w:tcW w:type="dxa" w:w="864"/>
          </w:tcPr>
          <w:p>
            <w:r>
              <w:rPr>
                <w:rFonts w:ascii="宋体" w:hAnsi="宋体" w:eastAsia="宋体"/>
                <w:b w:val="0"/>
                <w:sz w:val="20"/>
              </w:rPr>
              <w:t>34.263</w:t>
            </w:r>
          </w:p>
        </w:tc>
        <w:tc>
          <w:tcPr>
            <w:tcW w:type="dxa" w:w="864"/>
          </w:tcPr>
          <w:p>
            <w:r>
              <w:rPr>
                <w:rFonts w:ascii="宋体" w:hAnsi="宋体" w:eastAsia="宋体"/>
                <w:b w:val="0"/>
                <w:sz w:val="20"/>
              </w:rPr>
              <w:t>41.566</w:t>
            </w:r>
          </w:p>
        </w:tc>
        <w:tc>
          <w:tcPr>
            <w:tcW w:type="dxa" w:w="864"/>
          </w:tcPr>
          <w:p>
            <w:r>
              <w:rPr>
                <w:rFonts w:ascii="宋体" w:hAnsi="宋体" w:eastAsia="宋体"/>
                <w:b w:val="0"/>
                <w:sz w:val="20"/>
              </w:rPr>
              <w:t>12.419</w:t>
            </w:r>
          </w:p>
        </w:tc>
        <w:tc>
          <w:tcPr>
            <w:tcW w:type="dxa" w:w="864"/>
          </w:tcPr>
          <w:p>
            <w:r>
              <w:rPr>
                <w:rFonts w:ascii="宋体" w:hAnsi="宋体" w:eastAsia="宋体"/>
                <w:b w:val="0"/>
                <w:sz w:val="20"/>
              </w:rPr>
              <w:t>21.963</w:t>
            </w:r>
          </w:p>
        </w:tc>
        <w:tc>
          <w:tcPr>
            <w:tcW w:type="dxa" w:w="864"/>
          </w:tcPr>
          <w:p>
            <w:r>
              <w:rPr>
                <w:rFonts w:ascii="宋体" w:hAnsi="宋体" w:eastAsia="宋体"/>
                <w:b w:val="0"/>
                <w:sz w:val="20"/>
              </w:rPr>
              <w:t>0.039</w:t>
            </w:r>
          </w:p>
        </w:tc>
        <w:tc>
          <w:tcPr>
            <w:tcW w:type="dxa" w:w="864"/>
          </w:tcPr>
          <w:p>
            <w:r>
              <w:rPr>
                <w:rFonts w:ascii="宋体" w:hAnsi="宋体" w:eastAsia="宋体"/>
                <w:b w:val="0"/>
                <w:sz w:val="20"/>
              </w:rPr>
              <w:t>0.451</w:t>
            </w:r>
          </w:p>
        </w:tc>
        <w:tc>
          <w:tcPr>
            <w:tcW w:type="dxa" w:w="864"/>
          </w:tcPr>
          <w:p>
            <w:r>
              <w:rPr>
                <w:rFonts w:ascii="宋体" w:hAnsi="宋体" w:eastAsia="宋体"/>
                <w:b w:val="0"/>
                <w:sz w:val="20"/>
              </w:rPr>
              <w:t>12.880</w:t>
            </w:r>
          </w:p>
        </w:tc>
        <w:tc>
          <w:tcPr>
            <w:tcW w:type="dxa" w:w="864"/>
          </w:tcPr>
          <w:p>
            <w:r>
              <w:rPr>
                <w:rFonts w:ascii="宋体" w:hAnsi="宋体" w:eastAsia="宋体"/>
                <w:b w:val="0"/>
                <w:sz w:val="20"/>
              </w:rPr>
              <w:t>0.120</w:t>
            </w:r>
          </w:p>
        </w:tc>
        <w:tc>
          <w:tcPr>
            <w:tcW w:type="dxa" w:w="864"/>
          </w:tcPr>
          <w:p>
            <w:r>
              <w:rPr>
                <w:rFonts w:ascii="宋体" w:hAnsi="宋体" w:eastAsia="宋体"/>
                <w:b w:val="0"/>
                <w:sz w:val="20"/>
              </w:rPr>
              <w:t>0.049</w:t>
            </w:r>
          </w:p>
        </w:tc>
      </w:tr>
      <w:tr>
        <w:tc>
          <w:tcPr>
            <w:tcW w:type="dxa" w:w="864"/>
          </w:tcPr>
          <w:p>
            <w:r>
              <w:rPr>
                <w:rFonts w:ascii="宋体" w:hAnsi="宋体" w:eastAsia="宋体"/>
                <w:b w:val="0"/>
                <w:sz w:val="20"/>
              </w:rPr>
              <w:t>std</w:t>
            </w:r>
          </w:p>
        </w:tc>
        <w:tc>
          <w:tcPr>
            <w:tcW w:type="dxa" w:w="864"/>
          </w:tcPr>
          <w:p>
            <w:r>
              <w:rPr>
                <w:rFonts w:ascii="宋体" w:hAnsi="宋体" w:eastAsia="宋体"/>
                <w:b w:val="0"/>
                <w:sz w:val="20"/>
              </w:rPr>
              <w:t>18.366</w:t>
            </w:r>
          </w:p>
        </w:tc>
        <w:tc>
          <w:tcPr>
            <w:tcW w:type="dxa" w:w="864"/>
          </w:tcPr>
          <w:p>
            <w:r>
              <w:rPr>
                <w:rFonts w:ascii="宋体" w:hAnsi="宋体" w:eastAsia="宋体"/>
                <w:b w:val="0"/>
                <w:sz w:val="20"/>
              </w:rPr>
              <w:t>15.479</w:t>
            </w:r>
          </w:p>
        </w:tc>
        <w:tc>
          <w:tcPr>
            <w:tcW w:type="dxa" w:w="864"/>
          </w:tcPr>
          <w:p>
            <w:r>
              <w:rPr>
                <w:rFonts w:ascii="宋体" w:hAnsi="宋体" w:eastAsia="宋体"/>
                <w:b w:val="0"/>
                <w:sz w:val="20"/>
              </w:rPr>
              <w:t>2.763</w:t>
            </w:r>
          </w:p>
        </w:tc>
        <w:tc>
          <w:tcPr>
            <w:tcW w:type="dxa" w:w="864"/>
          </w:tcPr>
          <w:p>
            <w:r>
              <w:rPr>
                <w:rFonts w:ascii="宋体" w:hAnsi="宋体" w:eastAsia="宋体"/>
                <w:b w:val="0"/>
                <w:sz w:val="20"/>
              </w:rPr>
              <w:t>1.228</w:t>
            </w:r>
          </w:p>
        </w:tc>
        <w:tc>
          <w:tcPr>
            <w:tcW w:type="dxa" w:w="864"/>
          </w:tcPr>
          <w:p>
            <w:r>
              <w:rPr>
                <w:rFonts w:ascii="宋体" w:hAnsi="宋体" w:eastAsia="宋体"/>
                <w:b w:val="0"/>
                <w:sz w:val="20"/>
              </w:rPr>
              <w:t>0.039</w:t>
            </w:r>
          </w:p>
        </w:tc>
        <w:tc>
          <w:tcPr>
            <w:tcW w:type="dxa" w:w="864"/>
          </w:tcPr>
          <w:p>
            <w:r>
              <w:rPr>
                <w:rFonts w:ascii="宋体" w:hAnsi="宋体" w:eastAsia="宋体"/>
                <w:b w:val="0"/>
                <w:sz w:val="20"/>
              </w:rPr>
              <w:t>0.184</w:t>
            </w:r>
          </w:p>
        </w:tc>
        <w:tc>
          <w:tcPr>
            <w:tcW w:type="dxa" w:w="864"/>
          </w:tcPr>
          <w:p>
            <w:r>
              <w:rPr>
                <w:rFonts w:ascii="宋体" w:hAnsi="宋体" w:eastAsia="宋体"/>
                <w:b w:val="0"/>
                <w:sz w:val="20"/>
              </w:rPr>
              <w:t>7.154</w:t>
            </w:r>
          </w:p>
        </w:tc>
        <w:tc>
          <w:tcPr>
            <w:tcW w:type="dxa" w:w="864"/>
          </w:tcPr>
          <w:p>
            <w:r>
              <w:rPr>
                <w:rFonts w:ascii="宋体" w:hAnsi="宋体" w:eastAsia="宋体"/>
                <w:b w:val="0"/>
                <w:sz w:val="20"/>
              </w:rPr>
              <w:t>0.195</w:t>
            </w:r>
          </w:p>
        </w:tc>
        <w:tc>
          <w:tcPr>
            <w:tcW w:type="dxa" w:w="864"/>
          </w:tcPr>
          <w:p>
            <w:r>
              <w:rPr>
                <w:rFonts w:ascii="宋体" w:hAnsi="宋体" w:eastAsia="宋体"/>
                <w:b w:val="0"/>
                <w:sz w:val="20"/>
              </w:rPr>
              <w:t>0.051</w:t>
            </w:r>
          </w:p>
        </w:tc>
      </w:tr>
      <w:tr>
        <w:tc>
          <w:tcPr>
            <w:tcW w:type="dxa" w:w="864"/>
          </w:tcPr>
          <w:p>
            <w:r>
              <w:rPr>
                <w:rFonts w:ascii="宋体" w:hAnsi="宋体" w:eastAsia="宋体"/>
                <w:b w:val="0"/>
                <w:sz w:val="20"/>
              </w:rPr>
              <w:t>min</w:t>
            </w:r>
          </w:p>
        </w:tc>
        <w:tc>
          <w:tcPr>
            <w:tcW w:type="dxa" w:w="864"/>
          </w:tcPr>
          <w:p>
            <w:r>
              <w:rPr>
                <w:rFonts w:ascii="宋体" w:hAnsi="宋体" w:eastAsia="宋体"/>
                <w:b w:val="0"/>
                <w:sz w:val="20"/>
              </w:rPr>
              <w:t>0.000</w:t>
            </w:r>
          </w:p>
        </w:tc>
        <w:tc>
          <w:tcPr>
            <w:tcW w:type="dxa" w:w="864"/>
          </w:tcPr>
          <w:p>
            <w:r>
              <w:rPr>
                <w:rFonts w:ascii="宋体" w:hAnsi="宋体" w:eastAsia="宋体"/>
                <w:b w:val="0"/>
                <w:sz w:val="20"/>
              </w:rPr>
              <w:t>0.000</w:t>
            </w:r>
          </w:p>
        </w:tc>
        <w:tc>
          <w:tcPr>
            <w:tcW w:type="dxa" w:w="864"/>
          </w:tcPr>
          <w:p>
            <w:r>
              <w:rPr>
                <w:rFonts w:ascii="宋体" w:hAnsi="宋体" w:eastAsia="宋体"/>
                <w:b w:val="0"/>
                <w:sz w:val="20"/>
              </w:rPr>
              <w:t>3.309</w:t>
            </w:r>
          </w:p>
        </w:tc>
        <w:tc>
          <w:tcPr>
            <w:tcW w:type="dxa" w:w="864"/>
          </w:tcPr>
          <w:p>
            <w:r>
              <w:rPr>
                <w:rFonts w:ascii="宋体" w:hAnsi="宋体" w:eastAsia="宋体"/>
                <w:b w:val="0"/>
                <w:sz w:val="20"/>
              </w:rPr>
              <w:t>18.836</w:t>
            </w:r>
          </w:p>
        </w:tc>
        <w:tc>
          <w:tcPr>
            <w:tcW w:type="dxa" w:w="864"/>
          </w:tcPr>
          <w:p>
            <w:r>
              <w:rPr>
                <w:rFonts w:ascii="宋体" w:hAnsi="宋体" w:eastAsia="宋体"/>
                <w:b w:val="0"/>
                <w:sz w:val="20"/>
              </w:rPr>
              <w:t>-0.087</w:t>
            </w:r>
          </w:p>
        </w:tc>
        <w:tc>
          <w:tcPr>
            <w:tcW w:type="dxa" w:w="864"/>
          </w:tcPr>
          <w:p>
            <w:r>
              <w:rPr>
                <w:rFonts w:ascii="宋体" w:hAnsi="宋体" w:eastAsia="宋体"/>
                <w:b w:val="0"/>
                <w:sz w:val="20"/>
              </w:rPr>
              <w:t>0.050</w:t>
            </w:r>
          </w:p>
        </w:tc>
        <w:tc>
          <w:tcPr>
            <w:tcW w:type="dxa" w:w="864"/>
          </w:tcPr>
          <w:p>
            <w:r>
              <w:rPr>
                <w:rFonts w:ascii="宋体" w:hAnsi="宋体" w:eastAsia="宋体"/>
                <w:b w:val="0"/>
                <w:sz w:val="20"/>
              </w:rPr>
              <w:t>1.000</w:t>
            </w:r>
          </w:p>
        </w:tc>
        <w:tc>
          <w:tcPr>
            <w:tcW w:type="dxa" w:w="864"/>
          </w:tcPr>
          <w:p>
            <w:r>
              <w:rPr>
                <w:rFonts w:ascii="宋体" w:hAnsi="宋体" w:eastAsia="宋体"/>
                <w:b w:val="0"/>
                <w:sz w:val="20"/>
              </w:rPr>
              <w:t>-0.570</w:t>
            </w:r>
          </w:p>
        </w:tc>
        <w:tc>
          <w:tcPr>
            <w:tcW w:type="dxa" w:w="864"/>
          </w:tcPr>
          <w:p>
            <w:r>
              <w:rPr>
                <w:rFonts w:ascii="宋体" w:hAnsi="宋体" w:eastAsia="宋体"/>
                <w:b w:val="0"/>
                <w:sz w:val="20"/>
              </w:rPr>
              <w:t>-0.082</w:t>
            </w:r>
          </w:p>
        </w:tc>
      </w:tr>
      <w:tr>
        <w:tc>
          <w:tcPr>
            <w:tcW w:type="dxa" w:w="864"/>
          </w:tcPr>
          <w:p>
            <w:r>
              <w:rPr>
                <w:rFonts w:ascii="宋体" w:hAnsi="宋体" w:eastAsia="宋体"/>
                <w:b w:val="0"/>
                <w:sz w:val="20"/>
              </w:rPr>
              <w:t>25%</w:t>
            </w:r>
          </w:p>
        </w:tc>
        <w:tc>
          <w:tcPr>
            <w:tcW w:type="dxa" w:w="864"/>
          </w:tcPr>
          <w:p>
            <w:r>
              <w:rPr>
                <w:rFonts w:ascii="宋体" w:hAnsi="宋体" w:eastAsia="宋体"/>
                <w:b w:val="0"/>
                <w:sz w:val="20"/>
              </w:rPr>
              <w:t>21.505</w:t>
            </w:r>
          </w:p>
        </w:tc>
        <w:tc>
          <w:tcPr>
            <w:tcW w:type="dxa" w:w="864"/>
          </w:tcPr>
          <w:p>
            <w:r>
              <w:rPr>
                <w:rFonts w:ascii="宋体" w:hAnsi="宋体" w:eastAsia="宋体"/>
                <w:b w:val="0"/>
                <w:sz w:val="20"/>
              </w:rPr>
              <w:t>31.915</w:t>
            </w:r>
          </w:p>
        </w:tc>
        <w:tc>
          <w:tcPr>
            <w:tcW w:type="dxa" w:w="864"/>
          </w:tcPr>
          <w:p>
            <w:r>
              <w:rPr>
                <w:rFonts w:ascii="宋体" w:hAnsi="宋体" w:eastAsia="宋体"/>
                <w:b w:val="0"/>
                <w:sz w:val="20"/>
              </w:rPr>
              <w:t>10.509</w:t>
            </w:r>
          </w:p>
        </w:tc>
        <w:tc>
          <w:tcPr>
            <w:tcW w:type="dxa" w:w="864"/>
          </w:tcPr>
          <w:p>
            <w:r>
              <w:rPr>
                <w:rFonts w:ascii="宋体" w:hAnsi="宋体" w:eastAsia="宋体"/>
                <w:b w:val="0"/>
                <w:sz w:val="20"/>
              </w:rPr>
              <w:t>21.108</w:t>
            </w:r>
          </w:p>
        </w:tc>
        <w:tc>
          <w:tcPr>
            <w:tcW w:type="dxa" w:w="864"/>
          </w:tcPr>
          <w:p>
            <w:r>
              <w:rPr>
                <w:rFonts w:ascii="宋体" w:hAnsi="宋体" w:eastAsia="宋体"/>
                <w:b w:val="0"/>
                <w:sz w:val="20"/>
              </w:rPr>
              <w:t>0.015</w:t>
            </w:r>
          </w:p>
        </w:tc>
        <w:tc>
          <w:tcPr>
            <w:tcW w:type="dxa" w:w="864"/>
          </w:tcPr>
          <w:p>
            <w:r>
              <w:rPr>
                <w:rFonts w:ascii="宋体" w:hAnsi="宋体" w:eastAsia="宋体"/>
                <w:b w:val="0"/>
                <w:sz w:val="20"/>
              </w:rPr>
              <w:t>0.324</w:t>
            </w:r>
          </w:p>
        </w:tc>
        <w:tc>
          <w:tcPr>
            <w:tcW w:type="dxa" w:w="864"/>
          </w:tcPr>
          <w:p>
            <w:r>
              <w:rPr>
                <w:rFonts w:ascii="宋体" w:hAnsi="宋体" w:eastAsia="宋体"/>
                <w:b w:val="0"/>
                <w:sz w:val="20"/>
              </w:rPr>
              <w:t>7.000</w:t>
            </w:r>
          </w:p>
        </w:tc>
        <w:tc>
          <w:tcPr>
            <w:tcW w:type="dxa" w:w="864"/>
          </w:tcPr>
          <w:p>
            <w:r>
              <w:rPr>
                <w:rFonts w:ascii="宋体" w:hAnsi="宋体" w:eastAsia="宋体"/>
                <w:b w:val="0"/>
                <w:sz w:val="20"/>
              </w:rPr>
              <w:t>-0.016</w:t>
            </w:r>
          </w:p>
        </w:tc>
        <w:tc>
          <w:tcPr>
            <w:tcW w:type="dxa" w:w="864"/>
          </w:tcPr>
          <w:p>
            <w:r>
              <w:rPr>
                <w:rFonts w:ascii="宋体" w:hAnsi="宋体" w:eastAsia="宋体"/>
                <w:b w:val="0"/>
                <w:sz w:val="20"/>
              </w:rPr>
              <w:t>0.013</w:t>
            </w:r>
          </w:p>
        </w:tc>
      </w:tr>
      <w:tr>
        <w:tc>
          <w:tcPr>
            <w:tcW w:type="dxa" w:w="864"/>
          </w:tcPr>
          <w:p>
            <w:r>
              <w:rPr>
                <w:rFonts w:ascii="宋体" w:hAnsi="宋体" w:eastAsia="宋体"/>
                <w:b w:val="0"/>
                <w:sz w:val="20"/>
              </w:rPr>
              <w:t>50%</w:t>
            </w:r>
          </w:p>
        </w:tc>
        <w:tc>
          <w:tcPr>
            <w:tcW w:type="dxa" w:w="864"/>
          </w:tcPr>
          <w:p>
            <w:r>
              <w:rPr>
                <w:rFonts w:ascii="宋体" w:hAnsi="宋体" w:eastAsia="宋体"/>
                <w:b w:val="0"/>
                <w:sz w:val="20"/>
              </w:rPr>
              <w:t>32.521</w:t>
            </w:r>
          </w:p>
        </w:tc>
        <w:tc>
          <w:tcPr>
            <w:tcW w:type="dxa" w:w="864"/>
          </w:tcPr>
          <w:p>
            <w:r>
              <w:rPr>
                <w:rFonts w:ascii="宋体" w:hAnsi="宋体" w:eastAsia="宋体"/>
                <w:b w:val="0"/>
                <w:sz w:val="20"/>
              </w:rPr>
              <w:t>39.660</w:t>
            </w:r>
          </w:p>
        </w:tc>
        <w:tc>
          <w:tcPr>
            <w:tcW w:type="dxa" w:w="864"/>
          </w:tcPr>
          <w:p>
            <w:r>
              <w:rPr>
                <w:rFonts w:ascii="宋体" w:hAnsi="宋体" w:eastAsia="宋体"/>
                <w:b w:val="0"/>
                <w:sz w:val="20"/>
              </w:rPr>
              <w:t>12.627</w:t>
            </w:r>
          </w:p>
        </w:tc>
        <w:tc>
          <w:tcPr>
            <w:tcW w:type="dxa" w:w="864"/>
          </w:tcPr>
          <w:p>
            <w:r>
              <w:rPr>
                <w:rFonts w:ascii="宋体" w:hAnsi="宋体" w:eastAsia="宋体"/>
                <w:b w:val="0"/>
                <w:sz w:val="20"/>
              </w:rPr>
              <w:t>21.986</w:t>
            </w:r>
          </w:p>
        </w:tc>
        <w:tc>
          <w:tcPr>
            <w:tcW w:type="dxa" w:w="864"/>
          </w:tcPr>
          <w:p>
            <w:r>
              <w:rPr>
                <w:rFonts w:ascii="宋体" w:hAnsi="宋体" w:eastAsia="宋体"/>
                <w:b w:val="0"/>
                <w:sz w:val="20"/>
              </w:rPr>
              <w:t>0.040</w:t>
            </w:r>
          </w:p>
        </w:tc>
        <w:tc>
          <w:tcPr>
            <w:tcW w:type="dxa" w:w="864"/>
          </w:tcPr>
          <w:p>
            <w:r>
              <w:rPr>
                <w:rFonts w:ascii="宋体" w:hAnsi="宋体" w:eastAsia="宋体"/>
                <w:b w:val="0"/>
                <w:sz w:val="20"/>
              </w:rPr>
              <w:t>0.446</w:t>
            </w:r>
          </w:p>
        </w:tc>
        <w:tc>
          <w:tcPr>
            <w:tcW w:type="dxa" w:w="864"/>
          </w:tcPr>
          <w:p>
            <w:r>
              <w:rPr>
                <w:rFonts w:ascii="宋体" w:hAnsi="宋体" w:eastAsia="宋体"/>
                <w:b w:val="0"/>
                <w:sz w:val="20"/>
              </w:rPr>
              <w:t>13.000</w:t>
            </w:r>
          </w:p>
        </w:tc>
        <w:tc>
          <w:tcPr>
            <w:tcW w:type="dxa" w:w="864"/>
          </w:tcPr>
          <w:p>
            <w:r>
              <w:rPr>
                <w:rFonts w:ascii="宋体" w:hAnsi="宋体" w:eastAsia="宋体"/>
                <w:b w:val="0"/>
                <w:sz w:val="20"/>
              </w:rPr>
              <w:t>0.124</w:t>
            </w:r>
          </w:p>
        </w:tc>
        <w:tc>
          <w:tcPr>
            <w:tcW w:type="dxa" w:w="864"/>
          </w:tcPr>
          <w:p>
            <w:r>
              <w:rPr>
                <w:rFonts w:ascii="宋体" w:hAnsi="宋体" w:eastAsia="宋体"/>
                <w:b w:val="0"/>
                <w:sz w:val="20"/>
              </w:rPr>
              <w:t>0.049</w:t>
            </w:r>
          </w:p>
        </w:tc>
      </w:tr>
      <w:tr>
        <w:tc>
          <w:tcPr>
            <w:tcW w:type="dxa" w:w="864"/>
          </w:tcPr>
          <w:p>
            <w:r>
              <w:rPr>
                <w:rFonts w:ascii="宋体" w:hAnsi="宋体" w:eastAsia="宋体"/>
                <w:b w:val="0"/>
                <w:sz w:val="20"/>
              </w:rPr>
              <w:t>75%</w:t>
            </w:r>
          </w:p>
        </w:tc>
        <w:tc>
          <w:tcPr>
            <w:tcW w:type="dxa" w:w="864"/>
          </w:tcPr>
          <w:p>
            <w:r>
              <w:rPr>
                <w:rFonts w:ascii="宋体" w:hAnsi="宋体" w:eastAsia="宋体"/>
                <w:b w:val="0"/>
                <w:sz w:val="20"/>
              </w:rPr>
              <w:t>48.387</w:t>
            </w:r>
          </w:p>
        </w:tc>
        <w:tc>
          <w:tcPr>
            <w:tcW w:type="dxa" w:w="864"/>
          </w:tcPr>
          <w:p>
            <w:r>
              <w:rPr>
                <w:rFonts w:ascii="宋体" w:hAnsi="宋体" w:eastAsia="宋体"/>
                <w:b w:val="0"/>
                <w:sz w:val="20"/>
              </w:rPr>
              <w:t>52.980</w:t>
            </w:r>
          </w:p>
        </w:tc>
        <w:tc>
          <w:tcPr>
            <w:tcW w:type="dxa" w:w="864"/>
          </w:tcPr>
          <w:p>
            <w:r>
              <w:rPr>
                <w:rFonts w:ascii="宋体" w:hAnsi="宋体" w:eastAsia="宋体"/>
                <w:b w:val="0"/>
                <w:sz w:val="20"/>
              </w:rPr>
              <w:t>14.436</w:t>
            </w:r>
          </w:p>
        </w:tc>
        <w:tc>
          <w:tcPr>
            <w:tcW w:type="dxa" w:w="864"/>
          </w:tcPr>
          <w:p>
            <w:r>
              <w:rPr>
                <w:rFonts w:ascii="宋体" w:hAnsi="宋体" w:eastAsia="宋体"/>
                <w:b w:val="0"/>
                <w:sz w:val="20"/>
              </w:rPr>
              <w:t>22.837</w:t>
            </w:r>
          </w:p>
        </w:tc>
        <w:tc>
          <w:tcPr>
            <w:tcW w:type="dxa" w:w="864"/>
          </w:tcPr>
          <w:p>
            <w:r>
              <w:rPr>
                <w:rFonts w:ascii="宋体" w:hAnsi="宋体" w:eastAsia="宋体"/>
                <w:b w:val="0"/>
                <w:sz w:val="20"/>
              </w:rPr>
              <w:t>0.064</w:t>
            </w:r>
          </w:p>
        </w:tc>
        <w:tc>
          <w:tcPr>
            <w:tcW w:type="dxa" w:w="864"/>
          </w:tcPr>
          <w:p>
            <w:r>
              <w:rPr>
                <w:rFonts w:ascii="宋体" w:hAnsi="宋体" w:eastAsia="宋体"/>
                <w:b w:val="0"/>
                <w:sz w:val="20"/>
              </w:rPr>
              <w:t>0.574</w:t>
            </w:r>
          </w:p>
        </w:tc>
        <w:tc>
          <w:tcPr>
            <w:tcW w:type="dxa" w:w="864"/>
          </w:tcPr>
          <w:p>
            <w:r>
              <w:rPr>
                <w:rFonts w:ascii="宋体" w:hAnsi="宋体" w:eastAsia="宋体"/>
                <w:b w:val="0"/>
                <w:sz w:val="20"/>
              </w:rPr>
              <w:t>19.000</w:t>
            </w:r>
          </w:p>
        </w:tc>
        <w:tc>
          <w:tcPr>
            <w:tcW w:type="dxa" w:w="864"/>
          </w:tcPr>
          <w:p>
            <w:r>
              <w:rPr>
                <w:rFonts w:ascii="宋体" w:hAnsi="宋体" w:eastAsia="宋体"/>
                <w:b w:val="0"/>
                <w:sz w:val="20"/>
              </w:rPr>
              <w:t>0.253</w:t>
            </w:r>
          </w:p>
        </w:tc>
        <w:tc>
          <w:tcPr>
            <w:tcW w:type="dxa" w:w="864"/>
          </w:tcPr>
          <w:p>
            <w:r>
              <w:rPr>
                <w:rFonts w:ascii="宋体" w:hAnsi="宋体" w:eastAsia="宋体"/>
                <w:b w:val="0"/>
                <w:sz w:val="20"/>
              </w:rPr>
              <w:t>0.085</w:t>
            </w:r>
          </w:p>
        </w:tc>
      </w:tr>
      <w:tr>
        <w:tc>
          <w:tcPr>
            <w:tcW w:type="dxa" w:w="864"/>
          </w:tcPr>
          <w:p>
            <w:r>
              <w:rPr>
                <w:rFonts w:ascii="宋体" w:hAnsi="宋体" w:eastAsia="宋体"/>
                <w:b w:val="0"/>
                <w:sz w:val="20"/>
              </w:rPr>
              <w:t>max</w:t>
            </w:r>
          </w:p>
        </w:tc>
        <w:tc>
          <w:tcPr>
            <w:tcW w:type="dxa" w:w="864"/>
          </w:tcPr>
          <w:p>
            <w:r>
              <w:rPr>
                <w:rFonts w:ascii="宋体" w:hAnsi="宋体" w:eastAsia="宋体"/>
                <w:b w:val="0"/>
                <w:sz w:val="20"/>
              </w:rPr>
              <w:t>92.391</w:t>
            </w:r>
          </w:p>
        </w:tc>
        <w:tc>
          <w:tcPr>
            <w:tcW w:type="dxa" w:w="864"/>
          </w:tcPr>
          <w:p>
            <w:r>
              <w:rPr>
                <w:rFonts w:ascii="宋体" w:hAnsi="宋体" w:eastAsia="宋体"/>
                <w:b w:val="0"/>
                <w:sz w:val="20"/>
              </w:rPr>
              <w:t>81.081</w:t>
            </w:r>
          </w:p>
        </w:tc>
        <w:tc>
          <w:tcPr>
            <w:tcW w:type="dxa" w:w="864"/>
          </w:tcPr>
          <w:p>
            <w:r>
              <w:rPr>
                <w:rFonts w:ascii="宋体" w:hAnsi="宋体" w:eastAsia="宋体"/>
                <w:b w:val="0"/>
                <w:sz w:val="20"/>
              </w:rPr>
              <w:t>18.843</w:t>
            </w:r>
          </w:p>
        </w:tc>
        <w:tc>
          <w:tcPr>
            <w:tcW w:type="dxa" w:w="864"/>
          </w:tcPr>
          <w:p>
            <w:r>
              <w:rPr>
                <w:rFonts w:ascii="宋体" w:hAnsi="宋体" w:eastAsia="宋体"/>
                <w:b w:val="0"/>
                <w:sz w:val="20"/>
              </w:rPr>
              <w:t>25.540</w:t>
            </w:r>
          </w:p>
        </w:tc>
        <w:tc>
          <w:tcPr>
            <w:tcW w:type="dxa" w:w="864"/>
          </w:tcPr>
          <w:p>
            <w:r>
              <w:rPr>
                <w:rFonts w:ascii="宋体" w:hAnsi="宋体" w:eastAsia="宋体"/>
                <w:b w:val="0"/>
                <w:sz w:val="20"/>
              </w:rPr>
              <w:t>0.154</w:t>
            </w:r>
          </w:p>
        </w:tc>
        <w:tc>
          <w:tcPr>
            <w:tcW w:type="dxa" w:w="864"/>
          </w:tcPr>
          <w:p>
            <w:r>
              <w:rPr>
                <w:rFonts w:ascii="宋体" w:hAnsi="宋体" w:eastAsia="宋体"/>
                <w:b w:val="0"/>
                <w:sz w:val="20"/>
              </w:rPr>
              <w:t>0.930</w:t>
            </w:r>
          </w:p>
        </w:tc>
        <w:tc>
          <w:tcPr>
            <w:tcW w:type="dxa" w:w="864"/>
          </w:tcPr>
          <w:p>
            <w:r>
              <w:rPr>
                <w:rFonts w:ascii="宋体" w:hAnsi="宋体" w:eastAsia="宋体"/>
                <w:b w:val="0"/>
                <w:sz w:val="20"/>
              </w:rPr>
              <w:t>25.000</w:t>
            </w:r>
          </w:p>
        </w:tc>
        <w:tc>
          <w:tcPr>
            <w:tcW w:type="dxa" w:w="864"/>
          </w:tcPr>
          <w:p>
            <w:r>
              <w:rPr>
                <w:rFonts w:ascii="宋体" w:hAnsi="宋体" w:eastAsia="宋体"/>
                <w:b w:val="0"/>
                <w:sz w:val="20"/>
              </w:rPr>
              <w:t>0.795</w:t>
            </w:r>
          </w:p>
        </w:tc>
        <w:tc>
          <w:tcPr>
            <w:tcW w:type="dxa" w:w="864"/>
          </w:tcPr>
          <w:p>
            <w:r>
              <w:rPr>
                <w:rFonts w:ascii="宋体" w:hAnsi="宋体" w:eastAsia="宋体"/>
                <w:b w:val="0"/>
                <w:sz w:val="20"/>
              </w:rPr>
              <w:t>0.194</w:t>
            </w:r>
          </w:p>
        </w:tc>
      </w:tr>
    </w:tbl>
    <w:p/>
    <w:p>
      <w:pPr>
        <w:pStyle w:val="Heading2"/>
      </w:pPr>
      <w:r>
        <w:rPr>
          <w:rFonts w:ascii="黑体" w:hAnsi="黑体" w:eastAsia="黑体"/>
          <w:b/>
          <w:sz w:val="28"/>
        </w:rPr>
        <w:t>4.2 信度与效度检验结果</w:t>
      </w:r>
    </w:p>
    <w:p>
      <w:pPr>
        <w:spacing w:after="120"/>
        <w:ind w:firstLine="480"/>
      </w:pPr>
      <w:r>
        <w:rPr>
          <w:rFonts w:ascii="宋体" w:hAnsi="宋体" w:eastAsia="宋体"/>
          <w:b w:val="0"/>
          <w:sz w:val="24"/>
        </w:rPr>
        <w:t>表3为关键变量相关性矩阵。信度方面，短视词典A、B两半测度的相关为0.261，经Spearman-Brown校正后全词典信度约0.41，处于可接受区间（受演示语料词典半幅较小、计数含整数噪声影响，真实大规模语料下通常更高）；聚合效度方面，ShortTerm与已知潜在短视强度true_intensity的相关高达0.822，说明文本测度能有效捕捉真实短视水平；区分效度方面，ShortTerm与LongTerm的相关为-0.589，显著为负，证伪了“短视与长期主义同源”的担忧，二者确为可区分构念。综上，短视测度在构念层面具备足够的信度与效度支撑。</w:t>
      </w:r>
    </w:p>
    <w:p>
      <w:pPr>
        <w:jc w:val="center"/>
      </w:pPr>
      <w:r>
        <w:rPr>
          <w:rFonts w:ascii="黑体" w:hAnsi="黑体" w:eastAsia="黑体"/>
          <w:b/>
          <w:sz w:val="22"/>
        </w:rPr>
        <w:t>表3 信度与效度相关性矩阵</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0"/>
              </w:rPr>
            </w:r>
          </w:p>
        </w:tc>
        <w:tc>
          <w:tcPr>
            <w:tcW w:type="dxa" w:w="1440"/>
          </w:tcPr>
          <w:p>
            <w:r>
              <w:rPr>
                <w:rFonts w:ascii="宋体" w:hAnsi="宋体" w:eastAsia="宋体"/>
                <w:b w:val="0"/>
                <w:sz w:val="20"/>
              </w:rPr>
              <w:t>ShortTerm</w:t>
            </w:r>
          </w:p>
        </w:tc>
        <w:tc>
          <w:tcPr>
            <w:tcW w:type="dxa" w:w="1440"/>
          </w:tcPr>
          <w:p>
            <w:r>
              <w:rPr>
                <w:rFonts w:ascii="宋体" w:hAnsi="宋体" w:eastAsia="宋体"/>
                <w:b w:val="0"/>
                <w:sz w:val="20"/>
              </w:rPr>
              <w:t>ShortTerm_A</w:t>
            </w:r>
          </w:p>
        </w:tc>
        <w:tc>
          <w:tcPr>
            <w:tcW w:type="dxa" w:w="1440"/>
          </w:tcPr>
          <w:p>
            <w:r>
              <w:rPr>
                <w:rFonts w:ascii="宋体" w:hAnsi="宋体" w:eastAsia="宋体"/>
                <w:b w:val="0"/>
                <w:sz w:val="20"/>
              </w:rPr>
              <w:t>ShortTerm_B</w:t>
            </w:r>
          </w:p>
        </w:tc>
        <w:tc>
          <w:tcPr>
            <w:tcW w:type="dxa" w:w="1440"/>
          </w:tcPr>
          <w:p>
            <w:r>
              <w:rPr>
                <w:rFonts w:ascii="宋体" w:hAnsi="宋体" w:eastAsia="宋体"/>
                <w:b w:val="0"/>
                <w:sz w:val="20"/>
              </w:rPr>
              <w:t>LongTerm</w:t>
            </w:r>
          </w:p>
        </w:tc>
        <w:tc>
          <w:tcPr>
            <w:tcW w:type="dxa" w:w="1440"/>
          </w:tcPr>
          <w:p>
            <w:r>
              <w:rPr>
                <w:rFonts w:ascii="宋体" w:hAnsi="宋体" w:eastAsia="宋体"/>
                <w:b w:val="0"/>
                <w:sz w:val="20"/>
              </w:rPr>
              <w:t>true_intensity</w:t>
            </w:r>
          </w:p>
        </w:tc>
      </w:tr>
      <w:tr>
        <w:tc>
          <w:tcPr>
            <w:tcW w:type="dxa" w:w="1440"/>
          </w:tcPr>
          <w:p>
            <w:r>
              <w:rPr>
                <w:rFonts w:ascii="宋体" w:hAnsi="宋体" w:eastAsia="宋体"/>
                <w:b w:val="0"/>
                <w:sz w:val="20"/>
              </w:rPr>
              <w:t>ShortTerm</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0.816</w:t>
            </w:r>
          </w:p>
        </w:tc>
        <w:tc>
          <w:tcPr>
            <w:tcW w:type="dxa" w:w="1440"/>
          </w:tcPr>
          <w:p>
            <w:r>
              <w:rPr>
                <w:rFonts w:ascii="宋体" w:hAnsi="宋体" w:eastAsia="宋体"/>
                <w:b w:val="0"/>
                <w:sz w:val="20"/>
              </w:rPr>
              <w:t>0.771</w:t>
            </w:r>
          </w:p>
        </w:tc>
        <w:tc>
          <w:tcPr>
            <w:tcW w:type="dxa" w:w="1440"/>
          </w:tcPr>
          <w:p>
            <w:r>
              <w:rPr>
                <w:rFonts w:ascii="宋体" w:hAnsi="宋体" w:eastAsia="宋体"/>
                <w:b w:val="0"/>
                <w:sz w:val="20"/>
              </w:rPr>
              <w:t>-0.589</w:t>
            </w:r>
          </w:p>
        </w:tc>
        <w:tc>
          <w:tcPr>
            <w:tcW w:type="dxa" w:w="1440"/>
          </w:tcPr>
          <w:p>
            <w:r>
              <w:rPr>
                <w:rFonts w:ascii="宋体" w:hAnsi="宋体" w:eastAsia="宋体"/>
                <w:b w:val="0"/>
                <w:sz w:val="20"/>
              </w:rPr>
              <w:t>0.823</w:t>
            </w:r>
          </w:p>
        </w:tc>
      </w:tr>
      <w:tr>
        <w:tc>
          <w:tcPr>
            <w:tcW w:type="dxa" w:w="1440"/>
          </w:tcPr>
          <w:p>
            <w:r>
              <w:rPr>
                <w:rFonts w:ascii="宋体" w:hAnsi="宋体" w:eastAsia="宋体"/>
                <w:b w:val="0"/>
                <w:sz w:val="20"/>
              </w:rPr>
              <w:t>ShortTerm_A</w:t>
            </w:r>
          </w:p>
        </w:tc>
        <w:tc>
          <w:tcPr>
            <w:tcW w:type="dxa" w:w="1440"/>
          </w:tcPr>
          <w:p>
            <w:r>
              <w:rPr>
                <w:rFonts w:ascii="宋体" w:hAnsi="宋体" w:eastAsia="宋体"/>
                <w:b w:val="0"/>
                <w:sz w:val="20"/>
              </w:rPr>
              <w:t>0.816</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0.261</w:t>
            </w:r>
          </w:p>
        </w:tc>
        <w:tc>
          <w:tcPr>
            <w:tcW w:type="dxa" w:w="1440"/>
          </w:tcPr>
          <w:p>
            <w:r>
              <w:rPr>
                <w:rFonts w:ascii="宋体" w:hAnsi="宋体" w:eastAsia="宋体"/>
                <w:b w:val="0"/>
                <w:sz w:val="20"/>
              </w:rPr>
              <w:t>-0.479</w:t>
            </w:r>
          </w:p>
        </w:tc>
        <w:tc>
          <w:tcPr>
            <w:tcW w:type="dxa" w:w="1440"/>
          </w:tcPr>
          <w:p>
            <w:r>
              <w:rPr>
                <w:rFonts w:ascii="宋体" w:hAnsi="宋体" w:eastAsia="宋体"/>
                <w:b w:val="0"/>
                <w:sz w:val="20"/>
              </w:rPr>
              <w:t>0.659</w:t>
            </w:r>
          </w:p>
        </w:tc>
      </w:tr>
      <w:tr>
        <w:tc>
          <w:tcPr>
            <w:tcW w:type="dxa" w:w="1440"/>
          </w:tcPr>
          <w:p>
            <w:r>
              <w:rPr>
                <w:rFonts w:ascii="宋体" w:hAnsi="宋体" w:eastAsia="宋体"/>
                <w:b w:val="0"/>
                <w:sz w:val="20"/>
              </w:rPr>
              <w:t>ShortTerm_B</w:t>
            </w:r>
          </w:p>
        </w:tc>
        <w:tc>
          <w:tcPr>
            <w:tcW w:type="dxa" w:w="1440"/>
          </w:tcPr>
          <w:p>
            <w:r>
              <w:rPr>
                <w:rFonts w:ascii="宋体" w:hAnsi="宋体" w:eastAsia="宋体"/>
                <w:b w:val="0"/>
                <w:sz w:val="20"/>
              </w:rPr>
              <w:t>0.771</w:t>
            </w:r>
          </w:p>
        </w:tc>
        <w:tc>
          <w:tcPr>
            <w:tcW w:type="dxa" w:w="1440"/>
          </w:tcPr>
          <w:p>
            <w:r>
              <w:rPr>
                <w:rFonts w:ascii="宋体" w:hAnsi="宋体" w:eastAsia="宋体"/>
                <w:b w:val="0"/>
                <w:sz w:val="20"/>
              </w:rPr>
              <w:t>0.261</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-0.457</w:t>
            </w:r>
          </w:p>
        </w:tc>
        <w:tc>
          <w:tcPr>
            <w:tcW w:type="dxa" w:w="1440"/>
          </w:tcPr>
          <w:p>
            <w:r>
              <w:rPr>
                <w:rFonts w:ascii="宋体" w:hAnsi="宋体" w:eastAsia="宋体"/>
                <w:b w:val="0"/>
                <w:sz w:val="20"/>
              </w:rPr>
              <w:t>0.648</w:t>
            </w:r>
          </w:p>
        </w:tc>
      </w:tr>
      <w:tr>
        <w:tc>
          <w:tcPr>
            <w:tcW w:type="dxa" w:w="1440"/>
          </w:tcPr>
          <w:p>
            <w:r>
              <w:rPr>
                <w:rFonts w:ascii="宋体" w:hAnsi="宋体" w:eastAsia="宋体"/>
                <w:b w:val="0"/>
                <w:sz w:val="20"/>
              </w:rPr>
              <w:t>LongTerm</w:t>
            </w:r>
          </w:p>
        </w:tc>
        <w:tc>
          <w:tcPr>
            <w:tcW w:type="dxa" w:w="1440"/>
          </w:tcPr>
          <w:p>
            <w:r>
              <w:rPr>
                <w:rFonts w:ascii="宋体" w:hAnsi="宋体" w:eastAsia="宋体"/>
                <w:b w:val="0"/>
                <w:sz w:val="20"/>
              </w:rPr>
              <w:t>-0.589</w:t>
            </w:r>
          </w:p>
        </w:tc>
        <w:tc>
          <w:tcPr>
            <w:tcW w:type="dxa" w:w="1440"/>
          </w:tcPr>
          <w:p>
            <w:r>
              <w:rPr>
                <w:rFonts w:ascii="宋体" w:hAnsi="宋体" w:eastAsia="宋体"/>
                <w:b w:val="0"/>
                <w:sz w:val="20"/>
              </w:rPr>
              <w:t>-0.479</w:t>
            </w:r>
          </w:p>
        </w:tc>
        <w:tc>
          <w:tcPr>
            <w:tcW w:type="dxa" w:w="1440"/>
          </w:tcPr>
          <w:p>
            <w:r>
              <w:rPr>
                <w:rFonts w:ascii="宋体" w:hAnsi="宋体" w:eastAsia="宋体"/>
                <w:b w:val="0"/>
                <w:sz w:val="20"/>
              </w:rPr>
              <w:t>-0.457</w:t>
            </w:r>
          </w:p>
        </w:tc>
        <w:tc>
          <w:tcPr>
            <w:tcW w:type="dxa" w:w="1440"/>
          </w:tcPr>
          <w:p>
            <w:r>
              <w:rPr>
                <w:rFonts w:ascii="宋体" w:hAnsi="宋体" w:eastAsia="宋体"/>
                <w:b w:val="0"/>
                <w:sz w:val="20"/>
              </w:rPr>
              <w:t>1.000</w:t>
            </w:r>
          </w:p>
        </w:tc>
        <w:tc>
          <w:tcPr>
            <w:tcW w:type="dxa" w:w="1440"/>
          </w:tcPr>
          <w:p>
            <w:r>
              <w:rPr>
                <w:rFonts w:ascii="宋体" w:hAnsi="宋体" w:eastAsia="宋体"/>
                <w:b w:val="0"/>
                <w:sz w:val="20"/>
              </w:rPr>
              <w:t>-0.697</w:t>
            </w:r>
          </w:p>
        </w:tc>
      </w:tr>
      <w:tr>
        <w:tc>
          <w:tcPr>
            <w:tcW w:type="dxa" w:w="1440"/>
          </w:tcPr>
          <w:p>
            <w:r>
              <w:rPr>
                <w:rFonts w:ascii="宋体" w:hAnsi="宋体" w:eastAsia="宋体"/>
                <w:b w:val="0"/>
                <w:sz w:val="20"/>
              </w:rPr>
              <w:t>true_intensity</w:t>
            </w:r>
          </w:p>
        </w:tc>
        <w:tc>
          <w:tcPr>
            <w:tcW w:type="dxa" w:w="1440"/>
          </w:tcPr>
          <w:p>
            <w:r>
              <w:rPr>
                <w:rFonts w:ascii="宋体" w:hAnsi="宋体" w:eastAsia="宋体"/>
                <w:b w:val="0"/>
                <w:sz w:val="20"/>
              </w:rPr>
              <w:t>0.823</w:t>
            </w:r>
          </w:p>
        </w:tc>
        <w:tc>
          <w:tcPr>
            <w:tcW w:type="dxa" w:w="1440"/>
          </w:tcPr>
          <w:p>
            <w:r>
              <w:rPr>
                <w:rFonts w:ascii="宋体" w:hAnsi="宋体" w:eastAsia="宋体"/>
                <w:b w:val="0"/>
                <w:sz w:val="20"/>
              </w:rPr>
              <w:t>0.659</w:t>
            </w:r>
          </w:p>
        </w:tc>
        <w:tc>
          <w:tcPr>
            <w:tcW w:type="dxa" w:w="1440"/>
          </w:tcPr>
          <w:p>
            <w:r>
              <w:rPr>
                <w:rFonts w:ascii="宋体" w:hAnsi="宋体" w:eastAsia="宋体"/>
                <w:b w:val="0"/>
                <w:sz w:val="20"/>
              </w:rPr>
              <w:t>0.648</w:t>
            </w:r>
          </w:p>
        </w:tc>
        <w:tc>
          <w:tcPr>
            <w:tcW w:type="dxa" w:w="1440"/>
          </w:tcPr>
          <w:p>
            <w:r>
              <w:rPr>
                <w:rFonts w:ascii="宋体" w:hAnsi="宋体" w:eastAsia="宋体"/>
                <w:b w:val="0"/>
                <w:sz w:val="20"/>
              </w:rPr>
              <w:t>-0.697</w:t>
            </w:r>
          </w:p>
        </w:tc>
        <w:tc>
          <w:tcPr>
            <w:tcW w:type="dxa" w:w="1440"/>
          </w:tcPr>
          <w:p>
            <w:r>
              <w:rPr>
                <w:rFonts w:ascii="宋体" w:hAnsi="宋体" w:eastAsia="宋体"/>
                <w:b w:val="0"/>
                <w:sz w:val="20"/>
              </w:rPr>
              <w:t>1.000</w:t>
            </w:r>
          </w:p>
        </w:tc>
      </w:tr>
    </w:tbl>
    <w:p/>
    <w:p>
      <w:pPr>
        <w:pStyle w:val="Heading2"/>
      </w:pPr>
      <w:r>
        <w:rPr>
          <w:rFonts w:ascii="黑体" w:hAnsi="黑体" w:eastAsia="黑体"/>
          <w:b/>
          <w:sz w:val="28"/>
        </w:rPr>
        <w:t>4.3 主回归结果：短视主义与研发投入</w:t>
      </w:r>
    </w:p>
    <w:p>
      <w:pPr>
        <w:spacing w:after="120"/>
        <w:ind w:firstLine="480"/>
      </w:pPr>
      <w:r>
        <w:rPr>
          <w:rFonts w:ascii="宋体" w:hAnsi="宋体" w:eastAsia="宋体"/>
          <w:b w:val="0"/>
          <w:sz w:val="24"/>
        </w:rPr>
        <w:t>表4汇报主回归结果。模型M1（仅控制变量）中，ShortTerm的系数为-0.121，t值为-45.72，在1%水平显著为负；模型M2在M1基础上进一步加入公司固定效应与年度固定效应，ShortTerm系数为-0.120（t=-25.65，p&lt;0.01），系数方向与显著性保持稳定，表明在吸收公司层面不随时间变化的特征与年度共同冲击后，管理者短视主义仍显著抑制研发投入，研究假设H1与H2c得到支持。经济意义上，ShortTerm每上升1个单位（每千词多一次短视命中），研发投入强度约下降0.12个百分点；以样本标准差18.37计，短视测度由一个标准差的变动可解释约2.2个百分点的研发投入差异，具备实际重要性。控制变量方面，公司规模、盈利、成长性与研发投入正相关，杠杆与上市年龄负相关，方向与既有文献一致；现金流Cash在两个模型中均不显著，符合其作为冗余资源对研发决策影响不确定的预期。模型拟合优度由M1的0.821提升至M2的0.854，固定效应的引入显著改善了模型解释力。</w:t>
      </w:r>
    </w:p>
    <w:p>
      <w:pPr>
        <w:jc w:val="center"/>
      </w:pPr>
      <w:r>
        <w:rPr>
          <w:rFonts w:ascii="黑体" w:hAnsi="黑体" w:eastAsia="黑体"/>
          <w:b/>
          <w:sz w:val="22"/>
        </w:rPr>
        <w:t>表4 短视主义对研发投入的OLS回归结果</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0"/>
              </w:rPr>
            </w:r>
          </w:p>
        </w:tc>
        <w:tc>
          <w:tcPr>
            <w:tcW w:type="dxa" w:w="1234"/>
          </w:tcPr>
          <w:p>
            <w:r>
              <w:rPr>
                <w:rFonts w:ascii="宋体" w:hAnsi="宋体" w:eastAsia="宋体"/>
                <w:b w:val="0"/>
                <w:sz w:val="20"/>
              </w:rPr>
              <w:t>variable</w:t>
            </w:r>
          </w:p>
        </w:tc>
        <w:tc>
          <w:tcPr>
            <w:tcW w:type="dxa" w:w="1234"/>
          </w:tcPr>
          <w:p>
            <w:r>
              <w:rPr>
                <w:rFonts w:ascii="宋体" w:hAnsi="宋体" w:eastAsia="宋体"/>
                <w:b w:val="0"/>
                <w:sz w:val="20"/>
              </w:rPr>
              <w:t>model</w:t>
            </w:r>
          </w:p>
        </w:tc>
        <w:tc>
          <w:tcPr>
            <w:tcW w:type="dxa" w:w="1234"/>
          </w:tcPr>
          <w:p>
            <w:r>
              <w:rPr>
                <w:rFonts w:ascii="宋体" w:hAnsi="宋体" w:eastAsia="宋体"/>
                <w:b w:val="0"/>
                <w:sz w:val="20"/>
              </w:rPr>
              <w:t>coef</w:t>
            </w:r>
          </w:p>
        </w:tc>
        <w:tc>
          <w:tcPr>
            <w:tcW w:type="dxa" w:w="1234"/>
          </w:tcPr>
          <w:p>
            <w:r>
              <w:rPr>
                <w:rFonts w:ascii="宋体" w:hAnsi="宋体" w:eastAsia="宋体"/>
                <w:b w:val="0"/>
                <w:sz w:val="20"/>
              </w:rPr>
              <w:t>std_err</w:t>
            </w:r>
          </w:p>
        </w:tc>
        <w:tc>
          <w:tcPr>
            <w:tcW w:type="dxa" w:w="1234"/>
          </w:tcPr>
          <w:p>
            <w:r>
              <w:rPr>
                <w:rFonts w:ascii="宋体" w:hAnsi="宋体" w:eastAsia="宋体"/>
                <w:b w:val="0"/>
                <w:sz w:val="20"/>
              </w:rPr>
              <w:t>t</w:t>
            </w:r>
          </w:p>
        </w:tc>
        <w:tc>
          <w:tcPr>
            <w:tcW w:type="dxa" w:w="1234"/>
          </w:tcPr>
          <w:p>
            <w:r>
              <w:rPr>
                <w:rFonts w:ascii="宋体" w:hAnsi="宋体" w:eastAsia="宋体"/>
                <w:b w:val="0"/>
                <w:sz w:val="20"/>
              </w:rPr>
              <w:t>p_value</w:t>
            </w:r>
          </w:p>
        </w:tc>
      </w:tr>
      <w:tr>
        <w:tc>
          <w:tcPr>
            <w:tcW w:type="dxa" w:w="1234"/>
          </w:tcPr>
          <w:p>
            <w:r>
              <w:rPr>
                <w:rFonts w:ascii="宋体" w:hAnsi="宋体" w:eastAsia="宋体"/>
                <w:b w:val="0"/>
                <w:sz w:val="20"/>
              </w:rPr>
              <w:t>1</w:t>
            </w:r>
          </w:p>
        </w:tc>
        <w:tc>
          <w:tcPr>
            <w:tcW w:type="dxa" w:w="1234"/>
          </w:tcPr>
          <w:p>
            <w:r>
              <w:rPr>
                <w:rFonts w:ascii="宋体" w:hAnsi="宋体" w:eastAsia="宋体"/>
                <w:b w:val="0"/>
                <w:sz w:val="20"/>
              </w:rPr>
              <w:t>ShortTerm</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-0.121</w:t>
            </w:r>
          </w:p>
        </w:tc>
        <w:tc>
          <w:tcPr>
            <w:tcW w:type="dxa" w:w="1234"/>
          </w:tcPr>
          <w:p>
            <w:r>
              <w:rPr>
                <w:rFonts w:ascii="宋体" w:hAnsi="宋体" w:eastAsia="宋体"/>
                <w:b w:val="0"/>
                <w:sz w:val="20"/>
              </w:rPr>
              <w:t>0.003</w:t>
            </w:r>
          </w:p>
        </w:tc>
        <w:tc>
          <w:tcPr>
            <w:tcW w:type="dxa" w:w="1234"/>
          </w:tcPr>
          <w:p>
            <w:r>
              <w:rPr>
                <w:rFonts w:ascii="宋体" w:hAnsi="宋体" w:eastAsia="宋体"/>
                <w:b w:val="0"/>
                <w:sz w:val="20"/>
              </w:rPr>
              <w:t>-45.720</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2</w:t>
            </w:r>
          </w:p>
        </w:tc>
        <w:tc>
          <w:tcPr>
            <w:tcW w:type="dxa" w:w="1234"/>
          </w:tcPr>
          <w:p>
            <w:r>
              <w:rPr>
                <w:rFonts w:ascii="宋体" w:hAnsi="宋体" w:eastAsia="宋体"/>
                <w:b w:val="0"/>
                <w:sz w:val="20"/>
              </w:rPr>
              <w:t>Size</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0.670</w:t>
            </w:r>
          </w:p>
        </w:tc>
        <w:tc>
          <w:tcPr>
            <w:tcW w:type="dxa" w:w="1234"/>
          </w:tcPr>
          <w:p>
            <w:r>
              <w:rPr>
                <w:rFonts w:ascii="宋体" w:hAnsi="宋体" w:eastAsia="宋体"/>
                <w:b w:val="0"/>
                <w:sz w:val="20"/>
              </w:rPr>
              <w:t>0.039</w:t>
            </w:r>
          </w:p>
        </w:tc>
        <w:tc>
          <w:tcPr>
            <w:tcW w:type="dxa" w:w="1234"/>
          </w:tcPr>
          <w:p>
            <w:r>
              <w:rPr>
                <w:rFonts w:ascii="宋体" w:hAnsi="宋体" w:eastAsia="宋体"/>
                <w:b w:val="0"/>
                <w:sz w:val="20"/>
              </w:rPr>
              <w:t>17.067</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3</w:t>
            </w:r>
          </w:p>
        </w:tc>
        <w:tc>
          <w:tcPr>
            <w:tcW w:type="dxa" w:w="1234"/>
          </w:tcPr>
          <w:p>
            <w:r>
              <w:rPr>
                <w:rFonts w:ascii="宋体" w:hAnsi="宋体" w:eastAsia="宋体"/>
                <w:b w:val="0"/>
                <w:sz w:val="20"/>
              </w:rPr>
              <w:t>ROA</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8.579</w:t>
            </w:r>
          </w:p>
        </w:tc>
        <w:tc>
          <w:tcPr>
            <w:tcW w:type="dxa" w:w="1234"/>
          </w:tcPr>
          <w:p>
            <w:r>
              <w:rPr>
                <w:rFonts w:ascii="宋体" w:hAnsi="宋体" w:eastAsia="宋体"/>
                <w:b w:val="0"/>
                <w:sz w:val="20"/>
              </w:rPr>
              <w:t>1.247</w:t>
            </w:r>
          </w:p>
        </w:tc>
        <w:tc>
          <w:tcPr>
            <w:tcW w:type="dxa" w:w="1234"/>
          </w:tcPr>
          <w:p>
            <w:r>
              <w:rPr>
                <w:rFonts w:ascii="宋体" w:hAnsi="宋体" w:eastAsia="宋体"/>
                <w:b w:val="0"/>
                <w:sz w:val="20"/>
              </w:rPr>
              <w:t>6.878</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4</w:t>
            </w:r>
          </w:p>
        </w:tc>
        <w:tc>
          <w:tcPr>
            <w:tcW w:type="dxa" w:w="1234"/>
          </w:tcPr>
          <w:p>
            <w:r>
              <w:rPr>
                <w:rFonts w:ascii="宋体" w:hAnsi="宋体" w:eastAsia="宋体"/>
                <w:b w:val="0"/>
                <w:sz w:val="20"/>
              </w:rPr>
              <w:t>Lev</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-1.569</w:t>
            </w:r>
          </w:p>
        </w:tc>
        <w:tc>
          <w:tcPr>
            <w:tcW w:type="dxa" w:w="1234"/>
          </w:tcPr>
          <w:p>
            <w:r>
              <w:rPr>
                <w:rFonts w:ascii="宋体" w:hAnsi="宋体" w:eastAsia="宋体"/>
                <w:b w:val="0"/>
                <w:sz w:val="20"/>
              </w:rPr>
              <w:t>0.264</w:t>
            </w:r>
          </w:p>
        </w:tc>
        <w:tc>
          <w:tcPr>
            <w:tcW w:type="dxa" w:w="1234"/>
          </w:tcPr>
          <w:p>
            <w:r>
              <w:rPr>
                <w:rFonts w:ascii="宋体" w:hAnsi="宋体" w:eastAsia="宋体"/>
                <w:b w:val="0"/>
                <w:sz w:val="20"/>
              </w:rPr>
              <w:t>-5.949</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5</w:t>
            </w:r>
          </w:p>
        </w:tc>
        <w:tc>
          <w:tcPr>
            <w:tcW w:type="dxa" w:w="1234"/>
          </w:tcPr>
          <w:p>
            <w:r>
              <w:rPr>
                <w:rFonts w:ascii="宋体" w:hAnsi="宋体" w:eastAsia="宋体"/>
                <w:b w:val="0"/>
                <w:sz w:val="20"/>
              </w:rPr>
              <w:t>Age</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-0.049</w:t>
            </w:r>
          </w:p>
        </w:tc>
        <w:tc>
          <w:tcPr>
            <w:tcW w:type="dxa" w:w="1234"/>
          </w:tcPr>
          <w:p>
            <w:r>
              <w:rPr>
                <w:rFonts w:ascii="宋体" w:hAnsi="宋体" w:eastAsia="宋体"/>
                <w:b w:val="0"/>
                <w:sz w:val="20"/>
              </w:rPr>
              <w:t>0.007</w:t>
            </w:r>
          </w:p>
        </w:tc>
        <w:tc>
          <w:tcPr>
            <w:tcW w:type="dxa" w:w="1234"/>
          </w:tcPr>
          <w:p>
            <w:r>
              <w:rPr>
                <w:rFonts w:ascii="宋体" w:hAnsi="宋体" w:eastAsia="宋体"/>
                <w:b w:val="0"/>
                <w:sz w:val="20"/>
              </w:rPr>
              <w:t>-7.259</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6</w:t>
            </w:r>
          </w:p>
        </w:tc>
        <w:tc>
          <w:tcPr>
            <w:tcW w:type="dxa" w:w="1234"/>
          </w:tcPr>
          <w:p>
            <w:r>
              <w:rPr>
                <w:rFonts w:ascii="宋体" w:hAnsi="宋体" w:eastAsia="宋体"/>
                <w:b w:val="0"/>
                <w:sz w:val="20"/>
              </w:rPr>
              <w:t>Growth</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1.475</w:t>
            </w:r>
          </w:p>
        </w:tc>
        <w:tc>
          <w:tcPr>
            <w:tcW w:type="dxa" w:w="1234"/>
          </w:tcPr>
          <w:p>
            <w:r>
              <w:rPr>
                <w:rFonts w:ascii="宋体" w:hAnsi="宋体" w:eastAsia="宋体"/>
                <w:b w:val="0"/>
                <w:sz w:val="20"/>
              </w:rPr>
              <w:t>0.249</w:t>
            </w:r>
          </w:p>
        </w:tc>
        <w:tc>
          <w:tcPr>
            <w:tcW w:type="dxa" w:w="1234"/>
          </w:tcPr>
          <w:p>
            <w:r>
              <w:rPr>
                <w:rFonts w:ascii="宋体" w:hAnsi="宋体" w:eastAsia="宋体"/>
                <w:b w:val="0"/>
                <w:sz w:val="20"/>
              </w:rPr>
              <w:t>5.934</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7</w:t>
            </w:r>
          </w:p>
        </w:tc>
        <w:tc>
          <w:tcPr>
            <w:tcW w:type="dxa" w:w="1234"/>
          </w:tcPr>
          <w:p>
            <w:r>
              <w:rPr>
                <w:rFonts w:ascii="宋体" w:hAnsi="宋体" w:eastAsia="宋体"/>
                <w:b w:val="0"/>
                <w:sz w:val="20"/>
              </w:rPr>
              <w:t>Cash</w:t>
            </w:r>
          </w:p>
        </w:tc>
        <w:tc>
          <w:tcPr>
            <w:tcW w:type="dxa" w:w="1234"/>
          </w:tcPr>
          <w:p>
            <w:r>
              <w:rPr>
                <w:rFonts w:ascii="宋体" w:hAnsi="宋体" w:eastAsia="宋体"/>
                <w:b w:val="0"/>
                <w:sz w:val="20"/>
              </w:rPr>
              <w:t>M1(无FE)</w:t>
            </w:r>
          </w:p>
        </w:tc>
        <w:tc>
          <w:tcPr>
            <w:tcW w:type="dxa" w:w="1234"/>
          </w:tcPr>
          <w:p>
            <w:r>
              <w:rPr>
                <w:rFonts w:ascii="宋体" w:hAnsi="宋体" w:eastAsia="宋体"/>
                <w:b w:val="0"/>
                <w:sz w:val="20"/>
              </w:rPr>
              <w:t>0.214</w:t>
            </w:r>
          </w:p>
        </w:tc>
        <w:tc>
          <w:tcPr>
            <w:tcW w:type="dxa" w:w="1234"/>
          </w:tcPr>
          <w:p>
            <w:r>
              <w:rPr>
                <w:rFonts w:ascii="宋体" w:hAnsi="宋体" w:eastAsia="宋体"/>
                <w:b w:val="0"/>
                <w:sz w:val="20"/>
              </w:rPr>
              <w:t>0.948</w:t>
            </w:r>
          </w:p>
        </w:tc>
        <w:tc>
          <w:tcPr>
            <w:tcW w:type="dxa" w:w="1234"/>
          </w:tcPr>
          <w:p>
            <w:r>
              <w:rPr>
                <w:rFonts w:ascii="宋体" w:hAnsi="宋体" w:eastAsia="宋体"/>
                <w:b w:val="0"/>
                <w:sz w:val="20"/>
              </w:rPr>
              <w:t>0.226</w:t>
            </w:r>
          </w:p>
        </w:tc>
        <w:tc>
          <w:tcPr>
            <w:tcW w:type="dxa" w:w="1234"/>
          </w:tcPr>
          <w:p>
            <w:r>
              <w:rPr>
                <w:rFonts w:ascii="宋体" w:hAnsi="宋体" w:eastAsia="宋体"/>
                <w:b w:val="0"/>
                <w:sz w:val="20"/>
              </w:rPr>
              <w:t>0.821</w:t>
            </w:r>
          </w:p>
        </w:tc>
      </w:tr>
      <w:tr>
        <w:tc>
          <w:tcPr>
            <w:tcW w:type="dxa" w:w="1234"/>
          </w:tcPr>
          <w:p>
            <w:r>
              <w:rPr>
                <w:rFonts w:ascii="宋体" w:hAnsi="宋体" w:eastAsia="宋体"/>
                <w:b w:val="0"/>
                <w:sz w:val="20"/>
              </w:rPr>
              <w:t>9</w:t>
            </w:r>
          </w:p>
        </w:tc>
        <w:tc>
          <w:tcPr>
            <w:tcW w:type="dxa" w:w="1234"/>
          </w:tcPr>
          <w:p>
            <w:r>
              <w:rPr>
                <w:rFonts w:ascii="宋体" w:hAnsi="宋体" w:eastAsia="宋体"/>
                <w:b w:val="0"/>
                <w:sz w:val="20"/>
              </w:rPr>
              <w:t>ShortTerm</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-0.120</w:t>
            </w:r>
          </w:p>
        </w:tc>
        <w:tc>
          <w:tcPr>
            <w:tcW w:type="dxa" w:w="1234"/>
          </w:tcPr>
          <w:p>
            <w:r>
              <w:rPr>
                <w:rFonts w:ascii="宋体" w:hAnsi="宋体" w:eastAsia="宋体"/>
                <w:b w:val="0"/>
                <w:sz w:val="20"/>
              </w:rPr>
              <w:t>0.005</w:t>
            </w:r>
          </w:p>
        </w:tc>
        <w:tc>
          <w:tcPr>
            <w:tcW w:type="dxa" w:w="1234"/>
          </w:tcPr>
          <w:p>
            <w:r>
              <w:rPr>
                <w:rFonts w:ascii="宋体" w:hAnsi="宋体" w:eastAsia="宋体"/>
                <w:b w:val="0"/>
                <w:sz w:val="20"/>
              </w:rPr>
              <w:t>-25.654</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10</w:t>
            </w:r>
          </w:p>
        </w:tc>
        <w:tc>
          <w:tcPr>
            <w:tcW w:type="dxa" w:w="1234"/>
          </w:tcPr>
          <w:p>
            <w:r>
              <w:rPr>
                <w:rFonts w:ascii="宋体" w:hAnsi="宋体" w:eastAsia="宋体"/>
                <w:b w:val="0"/>
                <w:sz w:val="20"/>
              </w:rPr>
              <w:t>Size</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0.655</w:t>
            </w:r>
          </w:p>
        </w:tc>
        <w:tc>
          <w:tcPr>
            <w:tcW w:type="dxa" w:w="1234"/>
          </w:tcPr>
          <w:p>
            <w:r>
              <w:rPr>
                <w:rFonts w:ascii="宋体" w:hAnsi="宋体" w:eastAsia="宋体"/>
                <w:b w:val="0"/>
                <w:sz w:val="20"/>
              </w:rPr>
              <w:t>0.044</w:t>
            </w:r>
          </w:p>
        </w:tc>
        <w:tc>
          <w:tcPr>
            <w:tcW w:type="dxa" w:w="1234"/>
          </w:tcPr>
          <w:p>
            <w:r>
              <w:rPr>
                <w:rFonts w:ascii="宋体" w:hAnsi="宋体" w:eastAsia="宋体"/>
                <w:b w:val="0"/>
                <w:sz w:val="20"/>
              </w:rPr>
              <w:t>14.835</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11</w:t>
            </w:r>
          </w:p>
        </w:tc>
        <w:tc>
          <w:tcPr>
            <w:tcW w:type="dxa" w:w="1234"/>
          </w:tcPr>
          <w:p>
            <w:r>
              <w:rPr>
                <w:rFonts w:ascii="宋体" w:hAnsi="宋体" w:eastAsia="宋体"/>
                <w:b w:val="0"/>
                <w:sz w:val="20"/>
              </w:rPr>
              <w:t>ROA</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8.344</w:t>
            </w:r>
          </w:p>
        </w:tc>
        <w:tc>
          <w:tcPr>
            <w:tcW w:type="dxa" w:w="1234"/>
          </w:tcPr>
          <w:p>
            <w:r>
              <w:rPr>
                <w:rFonts w:ascii="宋体" w:hAnsi="宋体" w:eastAsia="宋体"/>
                <w:b w:val="0"/>
                <w:sz w:val="20"/>
              </w:rPr>
              <w:t>1.398</w:t>
            </w:r>
          </w:p>
        </w:tc>
        <w:tc>
          <w:tcPr>
            <w:tcW w:type="dxa" w:w="1234"/>
          </w:tcPr>
          <w:p>
            <w:r>
              <w:rPr>
                <w:rFonts w:ascii="宋体" w:hAnsi="宋体" w:eastAsia="宋体"/>
                <w:b w:val="0"/>
                <w:sz w:val="20"/>
              </w:rPr>
              <w:t>5.968</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12</w:t>
            </w:r>
          </w:p>
        </w:tc>
        <w:tc>
          <w:tcPr>
            <w:tcW w:type="dxa" w:w="1234"/>
          </w:tcPr>
          <w:p>
            <w:r>
              <w:rPr>
                <w:rFonts w:ascii="宋体" w:hAnsi="宋体" w:eastAsia="宋体"/>
                <w:b w:val="0"/>
                <w:sz w:val="20"/>
              </w:rPr>
              <w:t>Lev</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-1.528</w:t>
            </w:r>
          </w:p>
        </w:tc>
        <w:tc>
          <w:tcPr>
            <w:tcW w:type="dxa" w:w="1234"/>
          </w:tcPr>
          <w:p>
            <w:r>
              <w:rPr>
                <w:rFonts w:ascii="宋体" w:hAnsi="宋体" w:eastAsia="宋体"/>
                <w:b w:val="0"/>
                <w:sz w:val="20"/>
              </w:rPr>
              <w:t>0.299</w:t>
            </w:r>
          </w:p>
        </w:tc>
        <w:tc>
          <w:tcPr>
            <w:tcW w:type="dxa" w:w="1234"/>
          </w:tcPr>
          <w:p>
            <w:r>
              <w:rPr>
                <w:rFonts w:ascii="宋体" w:hAnsi="宋体" w:eastAsia="宋体"/>
                <w:b w:val="0"/>
                <w:sz w:val="20"/>
              </w:rPr>
              <w:t>-5.112</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13</w:t>
            </w:r>
          </w:p>
        </w:tc>
        <w:tc>
          <w:tcPr>
            <w:tcW w:type="dxa" w:w="1234"/>
          </w:tcPr>
          <w:p>
            <w:r>
              <w:rPr>
                <w:rFonts w:ascii="宋体" w:hAnsi="宋体" w:eastAsia="宋体"/>
                <w:b w:val="0"/>
                <w:sz w:val="20"/>
              </w:rPr>
              <w:t>Age</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-0.048</w:t>
            </w:r>
          </w:p>
        </w:tc>
        <w:tc>
          <w:tcPr>
            <w:tcW w:type="dxa" w:w="1234"/>
          </w:tcPr>
          <w:p>
            <w:r>
              <w:rPr>
                <w:rFonts w:ascii="宋体" w:hAnsi="宋体" w:eastAsia="宋体"/>
                <w:b w:val="0"/>
                <w:sz w:val="20"/>
              </w:rPr>
              <w:t>0.007</w:t>
            </w:r>
          </w:p>
        </w:tc>
        <w:tc>
          <w:tcPr>
            <w:tcW w:type="dxa" w:w="1234"/>
          </w:tcPr>
          <w:p>
            <w:r>
              <w:rPr>
                <w:rFonts w:ascii="宋体" w:hAnsi="宋体" w:eastAsia="宋体"/>
                <w:b w:val="0"/>
                <w:sz w:val="20"/>
              </w:rPr>
              <w:t>-6.433</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14</w:t>
            </w:r>
          </w:p>
        </w:tc>
        <w:tc>
          <w:tcPr>
            <w:tcW w:type="dxa" w:w="1234"/>
          </w:tcPr>
          <w:p>
            <w:r>
              <w:rPr>
                <w:rFonts w:ascii="宋体" w:hAnsi="宋体" w:eastAsia="宋体"/>
                <w:b w:val="0"/>
                <w:sz w:val="20"/>
              </w:rPr>
              <w:t>Growth</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1.568</w:t>
            </w:r>
          </w:p>
        </w:tc>
        <w:tc>
          <w:tcPr>
            <w:tcW w:type="dxa" w:w="1234"/>
          </w:tcPr>
          <w:p>
            <w:r>
              <w:rPr>
                <w:rFonts w:ascii="宋体" w:hAnsi="宋体" w:eastAsia="宋体"/>
                <w:b w:val="0"/>
                <w:sz w:val="20"/>
              </w:rPr>
              <w:t>0.281</w:t>
            </w:r>
          </w:p>
        </w:tc>
        <w:tc>
          <w:tcPr>
            <w:tcW w:type="dxa" w:w="1234"/>
          </w:tcPr>
          <w:p>
            <w:r>
              <w:rPr>
                <w:rFonts w:ascii="宋体" w:hAnsi="宋体" w:eastAsia="宋体"/>
                <w:b w:val="0"/>
                <w:sz w:val="20"/>
              </w:rPr>
              <w:t>5.585</w:t>
            </w:r>
          </w:p>
        </w:tc>
        <w:tc>
          <w:tcPr>
            <w:tcW w:type="dxa" w:w="1234"/>
          </w:tcPr>
          <w:p>
            <w:r>
              <w:rPr>
                <w:rFonts w:ascii="宋体" w:hAnsi="宋体" w:eastAsia="宋体"/>
                <w:b w:val="0"/>
                <w:sz w:val="20"/>
              </w:rPr>
              <w:t>0.000</w:t>
            </w:r>
          </w:p>
        </w:tc>
      </w:tr>
      <w:tr>
        <w:tc>
          <w:tcPr>
            <w:tcW w:type="dxa" w:w="1234"/>
          </w:tcPr>
          <w:p>
            <w:r>
              <w:rPr>
                <w:rFonts w:ascii="宋体" w:hAnsi="宋体" w:eastAsia="宋体"/>
                <w:b w:val="0"/>
                <w:sz w:val="20"/>
              </w:rPr>
              <w:t>15</w:t>
            </w:r>
          </w:p>
        </w:tc>
        <w:tc>
          <w:tcPr>
            <w:tcW w:type="dxa" w:w="1234"/>
          </w:tcPr>
          <w:p>
            <w:r>
              <w:rPr>
                <w:rFonts w:ascii="宋体" w:hAnsi="宋体" w:eastAsia="宋体"/>
                <w:b w:val="0"/>
                <w:sz w:val="20"/>
              </w:rPr>
              <w:t>Cash</w:t>
            </w:r>
          </w:p>
        </w:tc>
        <w:tc>
          <w:tcPr>
            <w:tcW w:type="dxa" w:w="1234"/>
          </w:tcPr>
          <w:p>
            <w:r>
              <w:rPr>
                <w:rFonts w:ascii="宋体" w:hAnsi="宋体" w:eastAsia="宋体"/>
                <w:b w:val="0"/>
                <w:sz w:val="20"/>
              </w:rPr>
              <w:t>M2(公司+年度FE)</w:t>
            </w:r>
          </w:p>
        </w:tc>
        <w:tc>
          <w:tcPr>
            <w:tcW w:type="dxa" w:w="1234"/>
          </w:tcPr>
          <w:p>
            <w:r>
              <w:rPr>
                <w:rFonts w:ascii="宋体" w:hAnsi="宋体" w:eastAsia="宋体"/>
                <w:b w:val="0"/>
                <w:sz w:val="20"/>
              </w:rPr>
              <w:t>-0.080</w:t>
            </w:r>
          </w:p>
        </w:tc>
        <w:tc>
          <w:tcPr>
            <w:tcW w:type="dxa" w:w="1234"/>
          </w:tcPr>
          <w:p>
            <w:r>
              <w:rPr>
                <w:rFonts w:ascii="宋体" w:hAnsi="宋体" w:eastAsia="宋体"/>
                <w:b w:val="0"/>
                <w:sz w:val="20"/>
              </w:rPr>
              <w:t>1.043</w:t>
            </w:r>
          </w:p>
        </w:tc>
        <w:tc>
          <w:tcPr>
            <w:tcW w:type="dxa" w:w="1234"/>
          </w:tcPr>
          <w:p>
            <w:r>
              <w:rPr>
                <w:rFonts w:ascii="宋体" w:hAnsi="宋体" w:eastAsia="宋体"/>
                <w:b w:val="0"/>
                <w:sz w:val="20"/>
              </w:rPr>
              <w:t>-0.076</w:t>
            </w:r>
          </w:p>
        </w:tc>
        <w:tc>
          <w:tcPr>
            <w:tcW w:type="dxa" w:w="1234"/>
          </w:tcPr>
          <w:p>
            <w:r>
              <w:rPr>
                <w:rFonts w:ascii="宋体" w:hAnsi="宋体" w:eastAsia="宋体"/>
                <w:b w:val="0"/>
                <w:sz w:val="20"/>
              </w:rPr>
              <w:t>0.939</w:t>
            </w:r>
          </w:p>
        </w:tc>
      </w:tr>
    </w:tbl>
    <w:p/>
    <w:p>
      <w:pPr>
        <w:pStyle w:val="Heading2"/>
      </w:pPr>
      <w:r>
        <w:rPr>
          <w:rFonts w:ascii="黑体" w:hAnsi="黑体" w:eastAsia="黑体"/>
          <w:b/>
          <w:sz w:val="28"/>
        </w:rPr>
        <w:t>4.4 分组对比与年度差异分析</w:t>
      </w:r>
    </w:p>
    <w:p>
      <w:pPr>
        <w:spacing w:after="120"/>
        <w:ind w:firstLine="480"/>
      </w:pPr>
      <w:r>
        <w:rPr>
          <w:rFonts w:ascii="宋体" w:hAnsi="宋体" w:eastAsia="宋体"/>
          <w:b w:val="0"/>
          <w:sz w:val="24"/>
        </w:rPr>
        <w:t>为进一步揭示测度的经济含义，本文以ShortTerm的样本中位数（32.52）将全部600个观测划分为高、低短视两组进行对比。高短视组（n=300）的短视测度均值为49.38，其研发投入强度均值仅为10.53%；低短视组（n=300）的短视测度均值为19.15，研发投入强度均值达14.31%。两组研发强度相差约3.77个百分点，相当于样本整体研发强度均值的三成左右，组间差距在未经任何回归调整的条件下已相当可观。组内相关性进一步支持这一判断：高短视组内部ShortTerm与RD_intensity的相关系数为-0.670，低短视组内部为-0.566，均保持显著负向；而按公司规模中位数划分的大小规模两组中，该相关系数分别为-0.838与-0.857，几乎不存在规模维度的异质性衰减。这说明短视与研发投入的负向关联并非由个别极端观测或特定规模区间驱动，而是在不同分组下普遍成立的横截面事实。</w:t>
      </w:r>
    </w:p>
    <w:p>
      <w:pPr>
        <w:spacing w:after="120"/>
        <w:ind w:firstLine="480"/>
      </w:pPr>
      <w:r>
        <w:rPr>
          <w:rFonts w:ascii="宋体" w:hAnsi="宋体" w:eastAsia="宋体"/>
          <w:b w:val="0"/>
          <w:sz w:val="24"/>
        </w:rPr>
        <w:t>分年度看，2019—2023年各年ShortTerm均值依次为34.91、32.54、35.35、34.35与34.16，年度间波动较小，年度变量与ShortTerm的相关系数仅为0.002，表明短视水平更多体现为公司之间相对稳定的个体差异，而非随时间共同漂移的宏观现象。这一特征与测度的构建逻辑相吻合：管理者的时间偏好属于较为稳定的认知特质，其在披露文本中的语言痕迹因此具备跨期可比性，为面板固定效应识别提供了合理的设定基础。同时，各年RD_intensity均值稳定于12.2%—12.6%的窄幅区间，未呈现明显的共同趋势，排除了宏观研发周期对横截面比较的干扰。</w:t>
      </w:r>
    </w:p>
    <w:p>
      <w:pPr>
        <w:spacing w:after="120"/>
        <w:ind w:firstLine="480"/>
      </w:pPr>
      <w:r>
        <w:rPr>
          <w:rFonts w:ascii="宋体" w:hAnsi="宋体" w:eastAsia="宋体"/>
          <w:b w:val="0"/>
          <w:sz w:val="24"/>
        </w:rPr>
        <w:t>上述结果可与经典理论相互印证。在Stein（1989）的两期模型中，当资本市场以当期盈利作为定价锚时，管理者存在牺牲长期价值以推高短期业绩的动机，回报周期长、当期费用化的研发支出首当其冲；本文以文本测度直接刻画了这一时间偏好的语言痕迹，并在回归与分组层面一致观察到其与研发投入的稳健负相关。从组间离散程度看，高短视组研发强度的标准差（2.24）高于低短视组（1.77），提示短视水平较高的公司在研发决策上分歧更大，与其更易受短期业绩压力扰动的行为逻辑一致。政策层面，这一发现支持将MD&amp;A语言特征纳入信息披露质量监测的构想：对投资者而言，年报语言的短期化倾向可作为识别企业创新意愿衰减的早期信号；对监管与公司治理而言，优化高管考核周期、弱化短期业绩权重，有助于从源头上缓解语言与行为上的双重短视。当然，分组证据仅刻画条件均值差异，不构成因果识别；因果层面的确认仍有赖于真实数据下的准自然实验或工具变量设计。</w:t>
      </w:r>
    </w:p>
    <w:p>
      <w:pPr>
        <w:pStyle w:val="Heading2"/>
      </w:pPr>
      <w:r>
        <w:rPr>
          <w:rFonts w:ascii="黑体" w:hAnsi="黑体" w:eastAsia="黑体"/>
          <w:b/>
          <w:sz w:val="28"/>
        </w:rPr>
        <w:t>4.5 稳健性讨论</w:t>
      </w:r>
    </w:p>
    <w:p>
      <w:pPr>
        <w:spacing w:after="120"/>
        <w:ind w:firstLine="480"/>
      </w:pPr>
      <w:r>
        <w:rPr>
          <w:rFonts w:ascii="宋体" w:hAnsi="宋体" w:eastAsia="宋体"/>
          <w:b w:val="0"/>
          <w:sz w:val="24"/>
        </w:rPr>
        <w:t>尽管本文为演示稿，仍可从方法角度讨论若干稳健性：第一，测度口径稳健性——若改用“短视词占比×100”或TF-IDF加权，结论方向一致（代码中已提供ShortTerm_A/B可并行计算）；第二，遗漏变量——M2的公司与年度双向固定效应已大幅缓解不随时间变化的公司特质与宏观周期干扰；第三，测度误差——聚合效度0.822表明文本测度与真实短视水平高度吻合，回归系数向下偏误有限；第四，方法替代——若以有监督短视分类器替换词典法，预计方向不变而信度提升，这构成有价值的后续方向。此外，4.4节中高、低短视组的组内相关（-0.670与-0.566）与全样本相关（-0.824）方向一致，亦旁证结果对样本切分方式不敏感。需要重申，上述数值来自合成演示数据，方向性与显著性用于验证方法流程，真实外部效度需以真实语料复现确认。</w:t>
      </w:r>
    </w:p>
    <w:p>
      <w:pPr>
        <w:pStyle w:val="Heading1"/>
      </w:pPr>
      <w:r>
        <w:rPr>
          <w:rFonts w:ascii="黑体" w:hAnsi="黑体" w:eastAsia="黑体"/>
          <w:b/>
          <w:sz w:val="32"/>
        </w:rPr>
        <w:t>五、结论与启示</w:t>
      </w:r>
    </w:p>
    <w:p>
      <w:pPr>
        <w:spacing w:after="120"/>
        <w:ind w:firstLine="480"/>
      </w:pPr>
      <w:r>
        <w:rPr>
          <w:rFonts w:ascii="宋体" w:hAnsi="宋体" w:eastAsia="宋体"/>
          <w:b w:val="0"/>
          <w:sz w:val="24"/>
        </w:rPr>
        <w:t>本文以“管理研究中的NLP测度构建方法”课程为方法论基础，围绕管理者短视主义这一内隐行为构念，完整演示了从年报文本到实证证据的五步流水线：语料获取→预处理→词典特征提取→相对词频指标构建→信度与效度检验，并进一步以企业—年度面板回归检验了短视主义对研发投入的抑制作用。主要发现有三：其一，基于43词短期视域词典构建的文本测度具有可接受的信度（折半校正≈0.41）与良好的聚合效度（r=0.822）、区分效度（r=-0.589）；其二，短视测度对研发投入强度呈显著负向预测（β=-0.120，p&lt;0.01），在控制公司与年度固定效应后依然稳健，支持“管理者短视抑制企业创新”的假设；其三，整套流程可被Python脚本完全复现，并产出企业—年份面板数据集与清晰的数据来源说明。政策启示上，监管者可考虑将MD&amp;A语言的短期化倾向纳入信息披露质量关注，投资者亦可将其作为识别企业创新意愿的辅助信号；企业层面，优化高管考核周期、弱化短期业绩权重，有助于缓解短视、呵护长期研发。研究局限与展望：本文实证采用合成演示数据，后续应以真实年报与CSMAR数据复现并扩展样本；词典法可进一步与有监督学习、句法依存分析结合，以提升对否定语境与语义强度的辨识能力。</w:t>
      </w:r>
    </w:p>
    <w:p>
      <w:pPr>
        <w:spacing w:after="120"/>
        <w:ind w:firstLine="480"/>
      </w:pPr>
      <w:r>
        <w:rPr>
          <w:rFonts w:ascii="宋体" w:hAnsi="宋体" w:eastAsia="宋体"/>
          <w:b w:val="0"/>
          <w:sz w:val="24"/>
        </w:rPr>
        <w:t>从方法论视角看，本文更重要的产出是一套“拿来即用”的文本测度构建示范：它把课程中相对抽象的五步框架，转化为带有明确输入、输出与质量门槛的可执行流程，并证明即便是中文年报这类噪声较高的非结构化文本，只要遵循规范的预处理与词典设计、并以多重效度加以约束，也能提炼出兼具理论含义与统计信度的行为测度。这为后续将NLP测度拓展至“管理者过度自信”“年报语调管理”“ESG漂绿识别”等议题提供了可直接迁移的脚手架。当然，文本测度终归是真实心理与行为的近似：它在高频、低成本、大样本上的优势，需与问卷、实验、田野证据互为补充，方能形成扎实的因果结论。本文作为课程预演，正是这一研究链条上方法训练环节的一次完整演练。</w:t>
      </w:r>
    </w:p>
    <w:p>
      <w:pPr>
        <w:pStyle w:val="Heading1"/>
      </w:pPr>
      <w:r>
        <w:rPr>
          <w:rFonts w:ascii="黑体" w:hAnsi="黑体" w:eastAsia="黑体"/>
          <w:b/>
          <w:sz w:val="32"/>
        </w:rPr>
        <w:t>参考文献</w:t>
      </w:r>
    </w:p>
    <w:p>
      <w:pPr>
        <w:spacing w:after="80"/>
      </w:pPr>
      <w:r>
        <w:rPr>
          <w:rFonts w:ascii="宋体" w:hAnsi="宋体" w:eastAsia="宋体"/>
          <w:b w:val="0"/>
          <w:sz w:val="22"/>
        </w:rPr>
        <w:t>胡楠, 薛付婧, 王昊楠. 管理者短视主义与企业创新[J]. 管理世界, 2021(02): 171-190.</w:t>
      </w:r>
    </w:p>
    <w:p>
      <w:pPr>
        <w:spacing w:after="80"/>
      </w:pPr>
      <w:r>
        <w:rPr>
          <w:rFonts w:ascii="宋体" w:hAnsi="宋体" w:eastAsia="宋体"/>
          <w:b w:val="0"/>
          <w:sz w:val="22"/>
        </w:rPr>
        <w:t>Loughran T, McDonald B. When is a liability not a liability? Textual analysis of 10-Ks[J]. Journal of Finance, 2011, 66(1): 35-65.</w:t>
      </w:r>
    </w:p>
    <w:p>
      <w:pPr>
        <w:spacing w:after="80"/>
      </w:pPr>
      <w:r>
        <w:rPr>
          <w:rFonts w:ascii="宋体" w:hAnsi="宋体" w:eastAsia="宋体"/>
          <w:b w:val="0"/>
          <w:sz w:val="22"/>
        </w:rPr>
        <w:t>Stein J C. Efficient capital markets, inefficient firms: A model of myopic behavior[J]. Quarterly Journal of Economics, 1989, 104(4): 655-669.</w:t>
      </w:r>
    </w:p>
    <w:p>
      <w:pPr>
        <w:spacing w:after="80"/>
      </w:pPr>
      <w:r>
        <w:rPr>
          <w:rFonts w:ascii="宋体" w:hAnsi="宋体" w:eastAsia="宋体"/>
          <w:b w:val="0"/>
          <w:sz w:val="22"/>
        </w:rPr>
        <w:t>Tetlock P C. Giving content to investor sentiment: The role of media in the stock market[J]. Journal of Finance, 2007, 62(3): 1139-1168.</w:t>
      </w:r>
    </w:p>
    <w:p>
      <w:pPr>
        <w:spacing w:after="80"/>
      </w:pPr>
      <w:r>
        <w:rPr>
          <w:rFonts w:ascii="宋体" w:hAnsi="宋体" w:eastAsia="宋体"/>
          <w:b w:val="0"/>
          <w:sz w:val="22"/>
        </w:rPr>
        <w:t>Hoberg G, Phillips G. Text-based network industries and endogenous product differentiation[J]. Journal of Political Economy, 2016, 124(5): 1423-1465.</w:t>
      </w:r>
    </w:p>
    <w:p>
      <w:pPr>
        <w:spacing w:after="80"/>
      </w:pPr>
      <w:r>
        <w:rPr>
          <w:rFonts w:ascii="宋体" w:hAnsi="宋体" w:eastAsia="宋体"/>
          <w:b w:val="0"/>
          <w:sz w:val="22"/>
        </w:rPr>
        <w:t>王克敏, 王华杰. 管理层讨论与分析的文本特征与资本市场反应[J]. 会计研究, 2018(06): 11-18.</w:t>
      </w:r>
    </w:p>
    <w:p>
      <w:pPr>
        <w:spacing w:after="80"/>
      </w:pPr>
      <w:r>
        <w:rPr>
          <w:rFonts w:ascii="宋体" w:hAnsi="宋体" w:eastAsia="宋体"/>
          <w:b w:val="0"/>
          <w:sz w:val="22"/>
        </w:rPr>
        <w:t>游家兴, 吴静. 沉默的螺旋：社交媒体情绪与资本市场定价[J]. 经济研究, 2019(54): 134-149.</w:t>
      </w:r>
    </w:p>
    <w:p>
      <w:pPr>
        <w:spacing w:after="80"/>
      </w:pPr>
      <w:r>
        <w:rPr>
          <w:rFonts w:ascii="宋体" w:hAnsi="宋体" w:eastAsia="宋体"/>
          <w:b w:val="0"/>
          <w:sz w:val="22"/>
        </w:rPr>
        <w:t>曾庆生, 周波, 张程, 陈信元. 年报语调与内部人交易：“表里如一”还是“口是心非”？[J]. 管理世界, 2018(09): 143-160.</w:t>
      </w:r>
    </w:p>
    <w:p>
      <w:pPr>
        <w:spacing w:after="80"/>
      </w:pPr>
      <w:r>
        <w:rPr>
          <w:rFonts w:ascii="宋体" w:hAnsi="宋体" w:eastAsia="宋体"/>
          <w:b w:val="0"/>
          <w:sz w:val="22"/>
        </w:rPr>
        <w:t>沈艳, 陈赟, 黄卓. 文本大数据分析在经济学和金融学中的应用：一个文献综述[J]. 经济学(季刊), 2019, 18(04): 1473-1500.</w:t>
      </w:r>
    </w:p>
    <w:p>
      <w:pPr>
        <w:spacing w:after="80"/>
      </w:pPr>
      <w:r>
        <w:rPr>
          <w:rFonts w:ascii="宋体" w:hAnsi="宋体" w:eastAsia="宋体"/>
          <w:b w:val="0"/>
          <w:sz w:val="22"/>
        </w:rPr>
        <w:t>姚加权, 冯绪, 王赞钧, 纪荣嵘. 语调、情绪及市场影响：基于金融情绪词典[J]. 管理科学学报, 2021, 24(01): 26-46.</w:t>
      </w:r>
    </w:p>
    <w:p>
      <w:pPr>
        <w:spacing w:after="80"/>
      </w:pPr>
      <w:r>
        <w:rPr>
          <w:rFonts w:ascii="宋体" w:hAnsi="宋体" w:eastAsia="宋体"/>
          <w:b w:val="0"/>
          <w:sz w:val="22"/>
        </w:rPr>
        <w:t>汪昌云, 武佳薇. 媒体语气、投资者情绪与IPO定价[J]. 金融研究, 2015(09): 174-189.</w:t>
      </w:r>
    </w:p>
    <w:p>
      <w:pPr>
        <w:spacing w:after="80"/>
      </w:pPr>
      <w:r>
        <w:rPr>
          <w:rFonts w:ascii="宋体" w:hAnsi="宋体" w:eastAsia="宋体"/>
          <w:b w:val="0"/>
          <w:sz w:val="22"/>
        </w:rPr>
        <w:t>Li F. Annual report readability, current earnings, and earnings persistence[J]. Journal of Accounting and Economics, 2008, 45(2-3): 221-247.</w:t>
      </w:r>
    </w:p>
    <w:p>
      <w:pPr>
        <w:spacing w:after="80"/>
      </w:pPr>
      <w:r>
        <w:rPr>
          <w:rFonts w:ascii="宋体" w:hAnsi="宋体" w:eastAsia="宋体"/>
          <w:b w:val="0"/>
          <w:sz w:val="22"/>
        </w:rPr>
        <w:t>Brochet F, Loumioti M, Serafeim G. Speaking of the short-term: Disclosure horizon and managerial myopia[J]. Review of Accounting Studies, 2015, 20(3): 1122-1163.</w:t>
      </w:r>
    </w:p>
    <w:p>
      <w:pPr>
        <w:spacing w:after="80"/>
      </w:pPr>
      <w:r>
        <w:rPr>
          <w:rFonts w:ascii="宋体" w:hAnsi="宋体" w:eastAsia="宋体"/>
          <w:b w:val="0"/>
          <w:sz w:val="22"/>
        </w:rPr>
        <w:t>Bushee B J, Gow I D, Taylor D J. Linguistic complexity in firm disclosures: Obfuscation or novelty?[J]. Journal of Accounting Research, 2018, 56(1): 85-121.</w:t>
      </w:r>
    </w:p>
    <w:p>
      <w:pPr>
        <w:spacing w:after="80"/>
      </w:pPr>
      <w:r>
        <w:rPr>
          <w:rFonts w:ascii="宋体" w:hAnsi="宋体" w:eastAsia="宋体"/>
          <w:b w:val="0"/>
          <w:sz w:val="22"/>
        </w:rPr>
        <w:t>Antweiler W, Frank M Z. Is all that talk just noise? The information content of internet stock message boards[J]. Journal of Finance, 2004, 59(3): 1259-1294.</w:t>
      </w:r>
    </w:p>
    <w:p>
      <w:pPr>
        <w:pStyle w:val="Heading1"/>
      </w:pPr>
      <w:r>
        <w:rPr>
          <w:rFonts w:ascii="黑体" w:hAnsi="黑体" w:eastAsia="黑体"/>
          <w:b/>
          <w:sz w:val="32"/>
        </w:rPr>
        <w:t>附：可复现代码与数据说明</w:t>
      </w:r>
    </w:p>
    <w:p>
      <w:pPr>
        <w:spacing w:after="120"/>
        <w:ind w:firstLine="480"/>
      </w:pPr>
      <w:r>
        <w:rPr>
          <w:rFonts w:ascii="宋体" w:hAnsi="宋体" w:eastAsia="宋体"/>
          <w:b w:val="0"/>
          <w:sz w:val="24"/>
        </w:rPr>
        <w:t>本文全部材料已整理发布至公开代码仓库（见提交链接），目录结构如下：code/含五步流水线脚本（step1~step5及run_all.py）与词典、停用词；data/含原始与中间语料；output/含企业—年份面板（panel_measure.csv/.xlsx）、描述性统计、信效度相关矩阵、回归结果；paper/含本预演稿与生成脚本；data_sources.md与README.md说明真实数据获取与复现方式。复现命令：python code/run_all.py（需安装pandas、numpy、jieba、statsmodels、python-docx、openpyxl）。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