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3CB154"/>
    <w:p w14:paraId="18006A09"/>
    <w:p w14:paraId="198E5461">
      <w:pPr>
        <w:jc w:val="center"/>
      </w:pPr>
      <w:r>
        <w:rPr>
          <w:b/>
          <w:color w:val="003366"/>
          <w:sz w:val="56"/>
        </w:rPr>
        <w:t>江苏省人民医院雨花院区</w:t>
      </w:r>
      <w:r>
        <w:rPr>
          <w:b/>
          <w:color w:val="003366"/>
          <w:sz w:val="56"/>
        </w:rPr>
        <w:br w:type="textWrapping"/>
      </w:r>
      <w:r>
        <w:rPr>
          <w:b/>
          <w:color w:val="003366"/>
          <w:sz w:val="56"/>
        </w:rPr>
        <w:t>药品目录配备制度（</w:t>
      </w:r>
      <w:r>
        <w:rPr>
          <w:rFonts w:hint="eastAsia"/>
          <w:b/>
          <w:color w:val="003366"/>
          <w:sz w:val="56"/>
          <w:lang w:val="en-US" w:eastAsia="zh-CN"/>
        </w:rPr>
        <w:t>待</w:t>
      </w:r>
      <w:r>
        <w:rPr>
          <w:b/>
          <w:color w:val="003366"/>
          <w:sz w:val="56"/>
        </w:rPr>
        <w:t>修订版）</w:t>
      </w:r>
      <w:r>
        <w:rPr>
          <w:b/>
          <w:color w:val="003366"/>
          <w:sz w:val="56"/>
        </w:rPr>
        <w:br w:type="textWrapping"/>
      </w:r>
      <w:r>
        <w:rPr>
          <w:b/>
          <w:color w:val="003366"/>
          <w:sz w:val="56"/>
        </w:rPr>
        <w:t>及配套操作文件</w:t>
      </w:r>
    </w:p>
    <w:p w14:paraId="4C3F969F"/>
    <w:p w14:paraId="4AED7A7E">
      <w:pPr>
        <w:jc w:val="center"/>
      </w:pPr>
      <w:r>
        <w:rPr>
          <w:color w:val="646464"/>
          <w:sz w:val="28"/>
        </w:rPr>
        <w:t>（经药事管理与药物治疗学委员会审议）</w:t>
      </w:r>
    </w:p>
    <w:p w14:paraId="3A8DA346">
      <w:bookmarkStart w:id="0" w:name="_GoBack"/>
      <w:bookmarkEnd w:id="0"/>
    </w:p>
    <w:p w14:paraId="3EA67BCA"/>
    <w:p w14:paraId="28AD9F29">
      <w:pPr>
        <w:jc w:val="center"/>
      </w:pPr>
      <w:r>
        <w:rPr>
          <w:sz w:val="24"/>
        </w:rPr>
        <w:t>2026年6月</w:t>
      </w:r>
    </w:p>
    <w:p w14:paraId="7C152F18">
      <w:r>
        <w:br w:type="page"/>
      </w:r>
    </w:p>
    <w:p w14:paraId="46858565">
      <w:pPr>
        <w:pStyle w:val="3"/>
      </w:pPr>
      <w:r>
        <w:t>目  录</w:t>
      </w:r>
    </w:p>
    <w:p w14:paraId="0E1DE3E5">
      <w:pPr>
        <w:spacing w:after="160"/>
      </w:pPr>
      <w:r>
        <w:rPr>
          <w:sz w:val="24"/>
        </w:rPr>
        <w:t>第一部分 药品目录配备制度（修订版）</w:t>
      </w:r>
    </w:p>
    <w:p w14:paraId="454C5613">
      <w:pPr>
        <w:spacing w:after="160"/>
      </w:pPr>
      <w:r>
        <w:rPr>
          <w:sz w:val="24"/>
        </w:rPr>
        <w:t>一、整体思路与编制依据</w:t>
      </w:r>
    </w:p>
    <w:p w14:paraId="2218A36D">
      <w:pPr>
        <w:spacing w:after="160"/>
      </w:pPr>
      <w:r>
        <w:rPr>
          <w:sz w:val="24"/>
        </w:rPr>
        <w:t>二、药品目录统一制定规则</w:t>
      </w:r>
    </w:p>
    <w:p w14:paraId="75FE7F85">
      <w:pPr>
        <w:spacing w:after="160"/>
      </w:pPr>
      <w:r>
        <w:rPr>
          <w:sz w:val="24"/>
        </w:rPr>
        <w:t>三、大类药品目录</w:t>
      </w:r>
    </w:p>
    <w:p w14:paraId="0D5B7513">
      <w:pPr>
        <w:spacing w:after="160"/>
      </w:pPr>
      <w:r>
        <w:rPr>
          <w:sz w:val="24"/>
        </w:rPr>
        <w:t>四、落地优化建议</w:t>
      </w:r>
    </w:p>
    <w:p w14:paraId="21CF8C45">
      <w:pPr>
        <w:spacing w:after="160"/>
      </w:pPr>
      <w:r>
        <w:rPr>
          <w:sz w:val="24"/>
        </w:rPr>
        <w:t>五、参考资料清单</w:t>
      </w:r>
    </w:p>
    <w:p w14:paraId="4A262F63">
      <w:pPr>
        <w:spacing w:after="160"/>
      </w:pPr>
      <w:r>
        <w:rPr>
          <w:sz w:val="24"/>
        </w:rPr>
        <w:t>六、生效与解释</w:t>
      </w:r>
    </w:p>
    <w:p w14:paraId="22EFB70F">
      <w:pPr>
        <w:spacing w:after="160"/>
      </w:pPr>
      <w:r>
        <w:rPr>
          <w:sz w:val="24"/>
        </w:rPr>
        <w:t>第二部分 配套操作文件</w:t>
      </w:r>
    </w:p>
    <w:p w14:paraId="56FE7288">
      <w:pPr>
        <w:spacing w:after="160"/>
      </w:pPr>
      <w:r>
        <w:rPr>
          <w:sz w:val="24"/>
        </w:rPr>
        <w:t>附件1：药品目录遴选评分标准表</w:t>
      </w:r>
    </w:p>
    <w:p w14:paraId="06676408">
      <w:pPr>
        <w:spacing w:after="160"/>
      </w:pPr>
      <w:r>
        <w:rPr>
          <w:sz w:val="24"/>
        </w:rPr>
        <w:t>附件2：药品新增/退出申请表</w:t>
      </w:r>
    </w:p>
    <w:p w14:paraId="22CDEA2C">
      <w:pPr>
        <w:spacing w:after="160"/>
      </w:pPr>
      <w:r>
        <w:rPr>
          <w:sz w:val="24"/>
        </w:rPr>
        <w:t>附件3：雨花院区首批药品目录（草案）</w:t>
      </w:r>
    </w:p>
    <w:p w14:paraId="58804EA8">
      <w:pPr>
        <w:spacing w:after="160"/>
      </w:pPr>
      <w:r>
        <w:rPr>
          <w:sz w:val="24"/>
        </w:rPr>
        <w:t>附件4：版本记录与审批信息</w:t>
      </w:r>
    </w:p>
    <w:p w14:paraId="2A1533DB">
      <w:r>
        <w:br w:type="page"/>
      </w:r>
    </w:p>
    <w:p w14:paraId="2EB6C2ED">
      <w:pPr>
        <w:pStyle w:val="3"/>
      </w:pPr>
      <w:r>
        <w:t>第一部分 药品目录配备制度（修订版）</w:t>
      </w:r>
    </w:p>
    <w:p w14:paraId="532C61FC">
      <w:pPr>
        <w:pStyle w:val="4"/>
      </w:pPr>
      <w:r>
        <w:t>一、整体思路与编制依据（可溯源+科学逻辑）</w:t>
      </w:r>
    </w:p>
    <w:p w14:paraId="796DA44F">
      <w:pPr>
        <w:pStyle w:val="5"/>
      </w:pPr>
      <w:r>
        <w:t>（一）编制背景</w:t>
      </w:r>
    </w:p>
    <w:p w14:paraId="747A0E65">
      <w:r>
        <w:t>雨花院区为江苏省人民医院（南京医科大学第一附属医院、江苏省妇幼保健院）新建院区，地处南京市雨花台区，占地 130 亩，床位 1332 张，设计日均门急诊量 8000 人次；设置门诊药房、急诊药房、住院药房/静配中心、手麻药房、生殖中心药房、药库六大药学功能区域。首批入驻骨科、血液科、综合内/外科、生殖中心等核心科室，兼具综合三甲医院+妇幼保健+生殖医学三重诊疗属性，药品目录需兼顾通用性、专科性、应急性与合规性。</w:t>
      </w:r>
    </w:p>
    <w:p w14:paraId="435C3B3A">
      <w:pPr>
        <w:pStyle w:val="5"/>
      </w:pPr>
      <w:r>
        <w:t>（二）核心编制依据（全溯源，国家/行业/院内三级文件）</w:t>
      </w:r>
    </w:p>
    <w:p w14:paraId="700B269C">
      <w:pPr>
        <w:pStyle w:val="6"/>
      </w:pPr>
      <w:r>
        <w:t>国家级法规与目录（强制执行）</w:t>
      </w:r>
    </w:p>
    <w:p w14:paraId="5461B87E">
      <w:r>
        <w:t>（1）《中华人民共和国药品管理法》《处方管理办法》《医疗机构药事管理规定》</w:t>
      </w:r>
    </w:p>
    <w:p w14:paraId="4129445F">
      <w:r>
        <w:t>（2）国家卫健委《加强医疗机构药事管理促进合理用药的意见》，落实 1+X 用药模式</w:t>
      </w:r>
    </w:p>
    <w:p w14:paraId="0357259E">
      <w:r>
        <w:t>（3）《国家基本药物目录》《国家基本医疗保险、工伤保险和生育保险药品目录（2024 版）》</w:t>
      </w:r>
    </w:p>
    <w:p w14:paraId="6726C162">
      <w:r>
        <w:t>（4）《基本医疗保险用药管理暂行办法》</w:t>
      </w:r>
    </w:p>
    <w:p w14:paraId="1EA67AC2">
      <w:r>
        <w:t>（5）WS/T 841—2024《全国公立医疗卫生机构药品使用监测管理标准》</w:t>
      </w:r>
    </w:p>
    <w:p w14:paraId="7BCB8466">
      <w:pPr>
        <w:pStyle w:val="6"/>
      </w:pPr>
      <w:r>
        <w:t>专科专项规范（适配院区特色）</w:t>
      </w:r>
    </w:p>
    <w:p w14:paraId="4BDEBA81">
      <w:r>
        <w:t>（1）妇产科、生殖医学用药相关专家共识与妇幼医疗机构药事管理标准</w:t>
      </w:r>
    </w:p>
    <w:p w14:paraId="1416E1AA">
      <w:r>
        <w:t>（2）静脉用药调配中心（静配中心）管理规范</w:t>
      </w:r>
    </w:p>
    <w:p w14:paraId="3304A624">
      <w:r>
        <w:t>（3）麻醉药品、精神药品、毒性药品、放射性药品等特殊管理药品国家专项管控规范</w:t>
      </w:r>
    </w:p>
    <w:p w14:paraId="2029088D">
      <w:r>
        <w:t>（4）《高警示药品管理制度》《易制毒化学品管理条例》等专项管理规定</w:t>
      </w:r>
    </w:p>
    <w:p w14:paraId="4F45E1F9">
      <w:pPr>
        <w:pStyle w:val="6"/>
      </w:pPr>
      <w:r>
        <w:t>院内与院区实际条件（落地适配）</w:t>
      </w:r>
    </w:p>
    <w:p w14:paraId="43B039BF">
      <w:r>
        <w:t>（1）雨花院区药房布局、面积、功能分区、床位、门急诊流量数据</w:t>
      </w:r>
    </w:p>
    <w:p w14:paraId="7C4891F8">
      <w:r>
        <w:t>（2）首批入驻科室：骨科 8 病区、血液科 8 病区、综合内科 3 病区、综合外科 3 病区、生殖中心门诊</w:t>
      </w:r>
    </w:p>
    <w:p w14:paraId="2DEB68E7">
      <w:r>
        <w:t>（3）江苏省人民医院总院现有成熟药品目录、用药习惯、集采及供应链体系</w:t>
      </w:r>
    </w:p>
    <w:p w14:paraId="0A0C601F">
      <w:pPr>
        <w:pStyle w:val="5"/>
      </w:pPr>
      <w:r>
        <w:t>（三）编制总原则</w:t>
      </w:r>
    </w:p>
    <w:p w14:paraId="3B29FBBE">
      <w:r>
        <w:t>· 合规优先：所有品种符合国家法规，严格执行"一品两规"，特殊药品全流程管控。</w:t>
      </w:r>
    </w:p>
    <w:p w14:paraId="715483D4">
      <w:r>
        <w:t>· 基药主导：落实 1+X 模式，优先选用国家/省级集中带量采购中选药品。</w:t>
      </w:r>
    </w:p>
    <w:p w14:paraId="0DA138F4">
      <w:r>
        <w:t>· 分区适配：按 6 大药房功能分区制定差异化目录，匹配不同使用场景。</w:t>
      </w:r>
    </w:p>
    <w:p w14:paraId="3B867062">
      <w:r>
        <w:t>· 专科聚焦：重点保障骨科、血液科、综合内外科、生殖医学四大首批科室用药。</w:t>
      </w:r>
    </w:p>
    <w:p w14:paraId="5CCBC975">
      <w:r>
        <w:t>· 动态可调：建立季度评估、年度大修机制，结合政策、临床反馈及时调整。</w:t>
      </w:r>
    </w:p>
    <w:p w14:paraId="53A49662">
      <w:r>
        <w:t>· 安全精简：同治疗领域择优保留优质品种，避免重复规格、低效药滥用。</w:t>
      </w:r>
    </w:p>
    <w:p w14:paraId="6C55A33D">
      <w:pPr>
        <w:pStyle w:val="4"/>
      </w:pPr>
      <w:r>
        <w:t>二、药品目录统一制定规则</w:t>
      </w:r>
    </w:p>
    <w:p w14:paraId="457E2751">
      <w:pPr>
        <w:pStyle w:val="5"/>
      </w:pPr>
      <w:r>
        <w:t>（一）目录组织架构规则</w:t>
      </w:r>
    </w:p>
    <w:p w14:paraId="41B99A79">
      <w:r>
        <w:t>采用**总目录→分区子目录→科室细分目录**三级架构，全院统一总目录，各药房、临床科室执行对应子目录，实现"统一管理、分区使用"。</w:t>
      </w:r>
    </w:p>
    <w:p w14:paraId="7079A7F6">
      <w:r>
        <w:t>· 一级分类：按药品药理作用+使用场景划分通用大类；</w:t>
      </w:r>
    </w:p>
    <w:p w14:paraId="46AE68C0">
      <w:r>
        <w:t>· 二级分类：按药房功能分区拆分（门诊、急诊、住院/静配、手麻、生殖中心、药库）；</w:t>
      </w:r>
    </w:p>
    <w:p w14:paraId="4343D21C">
      <w:r>
        <w:t>· 三级分类：按临床科室细化（骨科、血液科、综合内科、综合外科、生殖中心）。</w:t>
      </w:r>
    </w:p>
    <w:p w14:paraId="6BE9FC74">
      <w:pPr>
        <w:pStyle w:val="5"/>
      </w:pPr>
      <w:r>
        <w:t>（二）目录收录范围规则</w:t>
      </w:r>
    </w:p>
    <w:p w14:paraId="43B3EBF5">
      <w:pPr>
        <w:pStyle w:val="6"/>
      </w:pPr>
      <w:r>
        <w:t>1. 必收录品种（强制）</w:t>
      </w:r>
    </w:p>
    <w:p w14:paraId="19CF0C88">
      <w:r>
        <w:t>· 全部国家基本药物（化学药、生物制品、中成药、中药饮片）；</w:t>
      </w:r>
    </w:p>
    <w:p w14:paraId="2EEFF3CC">
      <w:r>
        <w:t>· 国家/江苏省集中带量采购中选药品；</w:t>
      </w:r>
    </w:p>
    <w:p w14:paraId="73B57513">
      <w:r>
        <w:t>· 2024 版国家医保目录内甲乙类药品（除法规明确禁用品种）；</w:t>
      </w:r>
    </w:p>
    <w:p w14:paraId="6926573A">
      <w:r>
        <w:t>· 急诊抢救、手术麻醉、静配中心常规刚需药品；</w:t>
      </w:r>
    </w:p>
    <w:p w14:paraId="589D2782">
      <w:r>
        <w:t>· 生殖医学、妇幼保健专科临床首选刚需药品。</w:t>
      </w:r>
    </w:p>
    <w:p w14:paraId="364E4921">
      <w:pPr>
        <w:pStyle w:val="6"/>
      </w:pPr>
      <w:r>
        <w:t>2. 限制收录品种（评审准入）</w:t>
      </w:r>
    </w:p>
    <w:p w14:paraId="1DC5D7B1">
      <w:r>
        <w:t>· 非医保、非基药、非集采的高价创新药、专科特药：经药事管理与药物治疗学委员会下设的药品遴选工作组组织多学科（至少应包括临床医学、临床药学、医院感染管理、医保管理、医务管理等专业背景的委员）评审，并获得出席会议的三分之二以上委员同意后方可收录；</w:t>
      </w:r>
    </w:p>
    <w:p w14:paraId="6EC58826">
      <w:r>
        <w:t>· 辅助用药、营养类药品：严格限量、限适应症、限使用科室，纳入重点监控；</w:t>
      </w:r>
    </w:p>
    <w:p w14:paraId="1D1DD4F8">
      <w:r>
        <w:t>· 同一通用名药品原则上遵循"一品两规"（即两种不同剂型或规格）。因儿童、孕产妇等特殊生理人群，或因严重肝肾功能不全等特殊病理状态，导致现有两个品规均不适用，且无其他合理替代药品时，可申请增加第三个品规，需经药事会专项审批并说明理由。</w:t>
      </w:r>
    </w:p>
    <w:p w14:paraId="5986BF2C">
      <w:pPr>
        <w:pStyle w:val="6"/>
      </w:pPr>
      <w:r>
        <w:t>3. 严禁收录品种（直接剔除）</w:t>
      </w:r>
    </w:p>
    <w:p w14:paraId="782184F8">
      <w:r>
        <w:t>· 国家药监局撤销批准文号、召回、严重不良反应预警的药品；</w:t>
      </w:r>
    </w:p>
    <w:p w14:paraId="7CCF36FA">
      <w:r>
        <w:t>· 医保目录明确剔除品类、无临床价值、价格虚高品种；</w:t>
      </w:r>
    </w:p>
    <w:p w14:paraId="2B5E2E0B">
      <w:r>
        <w:t>· 不符合生殖、妇幼用药安全标准且无合理替代的药品。</w:t>
      </w:r>
    </w:p>
    <w:p w14:paraId="7532D9DC">
      <w:pPr>
        <w:pStyle w:val="5"/>
      </w:pPr>
      <w:r>
        <w:t>（三）分药房目录专属规则</w:t>
      </w:r>
    </w:p>
    <w:tbl>
      <w:tblPr>
        <w:tblStyle w:val="35"/>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0"/>
        <w:gridCol w:w="2160"/>
        <w:gridCol w:w="2160"/>
        <w:gridCol w:w="2160"/>
      </w:tblGrid>
      <w:tr w14:paraId="064DA67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0191638C">
            <w:pPr>
              <w:spacing w:after="0" w:line="240" w:lineRule="auto"/>
              <w:rPr>
                <w:color w:val="376092" w:themeColor="accent1" w:themeShade="BF"/>
              </w:rPr>
            </w:pPr>
            <w:r>
              <w:rPr>
                <w:color w:val="376092" w:themeColor="accent1" w:themeShade="BF"/>
              </w:rPr>
              <w:t>药房分区</w:t>
            </w:r>
          </w:p>
        </w:tc>
        <w:tc>
          <w:tcPr>
            <w:tcW w:w="2160" w:type="dxa"/>
          </w:tcPr>
          <w:p w14:paraId="5D4277DF">
            <w:pPr>
              <w:spacing w:after="0" w:line="240" w:lineRule="auto"/>
              <w:rPr>
                <w:color w:val="376092" w:themeColor="accent1" w:themeShade="BF"/>
              </w:rPr>
            </w:pPr>
            <w:r>
              <w:rPr>
                <w:color w:val="376092" w:themeColor="accent1" w:themeShade="BF"/>
              </w:rPr>
              <w:t>面积 (㎡)</w:t>
            </w:r>
          </w:p>
        </w:tc>
        <w:tc>
          <w:tcPr>
            <w:tcW w:w="2160" w:type="dxa"/>
          </w:tcPr>
          <w:p w14:paraId="02D20F45">
            <w:pPr>
              <w:spacing w:after="0" w:line="240" w:lineRule="auto"/>
              <w:rPr>
                <w:color w:val="376092" w:themeColor="accent1" w:themeShade="BF"/>
              </w:rPr>
            </w:pPr>
            <w:r>
              <w:rPr>
                <w:color w:val="376092" w:themeColor="accent1" w:themeShade="BF"/>
              </w:rPr>
              <w:t>核心定位</w:t>
            </w:r>
          </w:p>
        </w:tc>
        <w:tc>
          <w:tcPr>
            <w:tcW w:w="2160" w:type="dxa"/>
          </w:tcPr>
          <w:p w14:paraId="525E8018">
            <w:pPr>
              <w:spacing w:after="0" w:line="240" w:lineRule="auto"/>
              <w:rPr>
                <w:color w:val="376092" w:themeColor="accent1" w:themeShade="BF"/>
              </w:rPr>
            </w:pPr>
            <w:r>
              <w:rPr>
                <w:color w:val="376092" w:themeColor="accent1" w:themeShade="BF"/>
              </w:rPr>
              <w:t>目录制定专属规则</w:t>
            </w:r>
          </w:p>
        </w:tc>
      </w:tr>
      <w:tr w14:paraId="56C85A8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0427D47A">
            <w:pPr>
              <w:spacing w:after="0" w:line="240" w:lineRule="auto"/>
              <w:rPr>
                <w:color w:val="376092" w:themeColor="accent1" w:themeShade="BF"/>
              </w:rPr>
            </w:pPr>
            <w:r>
              <w:rPr>
                <w:color w:val="376092" w:themeColor="accent1" w:themeShade="BF"/>
              </w:rPr>
              <w:t>门诊药房</w:t>
            </w:r>
          </w:p>
        </w:tc>
        <w:tc>
          <w:tcPr>
            <w:tcW w:w="2160" w:type="dxa"/>
          </w:tcPr>
          <w:p w14:paraId="327CF45E">
            <w:pPr>
              <w:spacing w:after="0" w:line="240" w:lineRule="auto"/>
              <w:rPr>
                <w:color w:val="376092" w:themeColor="accent1" w:themeShade="BF"/>
              </w:rPr>
            </w:pPr>
            <w:r>
              <w:rPr>
                <w:color w:val="376092" w:themeColor="accent1" w:themeShade="BF"/>
              </w:rPr>
              <w:t>517</w:t>
            </w:r>
          </w:p>
        </w:tc>
        <w:tc>
          <w:tcPr>
            <w:tcW w:w="2160" w:type="dxa"/>
          </w:tcPr>
          <w:p w14:paraId="1901A7C2">
            <w:pPr>
              <w:spacing w:after="0" w:line="240" w:lineRule="auto"/>
              <w:rPr>
                <w:color w:val="376092" w:themeColor="accent1" w:themeShade="BF"/>
              </w:rPr>
            </w:pPr>
            <w:r>
              <w:rPr>
                <w:color w:val="376092" w:themeColor="accent1" w:themeShade="BF"/>
              </w:rPr>
              <w:t>门诊常见病、慢病、复诊用药</w:t>
            </w:r>
          </w:p>
        </w:tc>
        <w:tc>
          <w:tcPr>
            <w:tcW w:w="2160" w:type="dxa"/>
          </w:tcPr>
          <w:p w14:paraId="1A6F1C0D">
            <w:pPr>
              <w:spacing w:after="0" w:line="240" w:lineRule="auto"/>
              <w:rPr>
                <w:color w:val="376092" w:themeColor="accent1" w:themeShade="BF"/>
              </w:rPr>
            </w:pPr>
            <w:r>
              <w:rPr>
                <w:color w:val="376092" w:themeColor="accent1" w:themeShade="BF"/>
              </w:rPr>
              <w:t>以口服、外用、中成药为主；严控注射剂；设置拆零药品目录</w:t>
            </w:r>
          </w:p>
        </w:tc>
      </w:tr>
      <w:tr w14:paraId="53AA2A4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2B1DB8AE">
            <w:pPr>
              <w:spacing w:after="0" w:line="240" w:lineRule="auto"/>
              <w:rPr>
                <w:color w:val="376092" w:themeColor="accent1" w:themeShade="BF"/>
              </w:rPr>
            </w:pPr>
            <w:r>
              <w:rPr>
                <w:color w:val="376092" w:themeColor="accent1" w:themeShade="BF"/>
              </w:rPr>
              <w:t>急诊药房</w:t>
            </w:r>
          </w:p>
        </w:tc>
        <w:tc>
          <w:tcPr>
            <w:tcW w:w="2160" w:type="dxa"/>
          </w:tcPr>
          <w:p w14:paraId="67755AFD">
            <w:pPr>
              <w:spacing w:after="0" w:line="240" w:lineRule="auto"/>
              <w:rPr>
                <w:color w:val="376092" w:themeColor="accent1" w:themeShade="BF"/>
              </w:rPr>
            </w:pPr>
            <w:r>
              <w:rPr>
                <w:color w:val="376092" w:themeColor="accent1" w:themeShade="BF"/>
              </w:rPr>
              <w:t>64</w:t>
            </w:r>
          </w:p>
        </w:tc>
        <w:tc>
          <w:tcPr>
            <w:tcW w:w="2160" w:type="dxa"/>
          </w:tcPr>
          <w:p w14:paraId="7CD1903C">
            <w:pPr>
              <w:spacing w:after="0" w:line="240" w:lineRule="auto"/>
              <w:rPr>
                <w:color w:val="376092" w:themeColor="accent1" w:themeShade="BF"/>
              </w:rPr>
            </w:pPr>
            <w:r>
              <w:rPr>
                <w:color w:val="376092" w:themeColor="accent1" w:themeShade="BF"/>
              </w:rPr>
              <w:t>24 小时急救、外伤、突发疾病用药</w:t>
            </w:r>
          </w:p>
        </w:tc>
        <w:tc>
          <w:tcPr>
            <w:tcW w:w="2160" w:type="dxa"/>
          </w:tcPr>
          <w:p w14:paraId="3DD02552">
            <w:pPr>
              <w:spacing w:after="0" w:line="240" w:lineRule="auto"/>
              <w:rPr>
                <w:color w:val="376092" w:themeColor="accent1" w:themeShade="BF"/>
              </w:rPr>
            </w:pPr>
            <w:r>
              <w:rPr>
                <w:color w:val="376092" w:themeColor="accent1" w:themeShade="BF"/>
              </w:rPr>
              <w:t>目录精简，常备急救药品；定基数、每日盘点；限制冷门专科药</w:t>
            </w:r>
          </w:p>
        </w:tc>
      </w:tr>
      <w:tr w14:paraId="1AFA22C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1E486CA2">
            <w:pPr>
              <w:spacing w:after="0" w:line="240" w:lineRule="auto"/>
              <w:rPr>
                <w:color w:val="376092" w:themeColor="accent1" w:themeShade="BF"/>
              </w:rPr>
            </w:pPr>
            <w:r>
              <w:rPr>
                <w:color w:val="376092" w:themeColor="accent1" w:themeShade="BF"/>
              </w:rPr>
              <w:t>住院药房+静配中心</w:t>
            </w:r>
          </w:p>
        </w:tc>
        <w:tc>
          <w:tcPr>
            <w:tcW w:w="2160" w:type="dxa"/>
          </w:tcPr>
          <w:p w14:paraId="14798A62">
            <w:pPr>
              <w:spacing w:after="0" w:line="240" w:lineRule="auto"/>
              <w:rPr>
                <w:color w:val="376092" w:themeColor="accent1" w:themeShade="BF"/>
              </w:rPr>
            </w:pPr>
            <w:r>
              <w:rPr>
                <w:color w:val="376092" w:themeColor="accent1" w:themeShade="BF"/>
              </w:rPr>
              <w:t>840</w:t>
            </w:r>
          </w:p>
        </w:tc>
        <w:tc>
          <w:tcPr>
            <w:tcW w:w="2160" w:type="dxa"/>
          </w:tcPr>
          <w:p w14:paraId="731F4147">
            <w:pPr>
              <w:spacing w:after="0" w:line="240" w:lineRule="auto"/>
              <w:rPr>
                <w:color w:val="376092" w:themeColor="accent1" w:themeShade="BF"/>
              </w:rPr>
            </w:pPr>
            <w:r>
              <w:rPr>
                <w:color w:val="376092" w:themeColor="accent1" w:themeShade="BF"/>
              </w:rPr>
              <w:t>住院患者用药、静脉用药集中调配</w:t>
            </w:r>
          </w:p>
        </w:tc>
        <w:tc>
          <w:tcPr>
            <w:tcW w:w="2160" w:type="dxa"/>
          </w:tcPr>
          <w:p w14:paraId="5EC224F8">
            <w:pPr>
              <w:spacing w:after="0" w:line="240" w:lineRule="auto"/>
              <w:rPr>
                <w:color w:val="376092" w:themeColor="accent1" w:themeShade="BF"/>
              </w:rPr>
            </w:pPr>
            <w:r>
              <w:rPr>
                <w:color w:val="376092" w:themeColor="accent1" w:themeShade="BF"/>
              </w:rPr>
              <w:t>抗菌药物分级管理；化疗药、围手术期用药单独管控；全院输液统一调配</w:t>
            </w:r>
          </w:p>
        </w:tc>
      </w:tr>
      <w:tr w14:paraId="04DF079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18D568C4">
            <w:pPr>
              <w:spacing w:after="0" w:line="240" w:lineRule="auto"/>
              <w:rPr>
                <w:color w:val="376092" w:themeColor="accent1" w:themeShade="BF"/>
              </w:rPr>
            </w:pPr>
            <w:r>
              <w:rPr>
                <w:color w:val="376092" w:themeColor="accent1" w:themeShade="BF"/>
              </w:rPr>
              <w:t>手麻药房</w:t>
            </w:r>
          </w:p>
        </w:tc>
        <w:tc>
          <w:tcPr>
            <w:tcW w:w="2160" w:type="dxa"/>
          </w:tcPr>
          <w:p w14:paraId="5DDD3858">
            <w:pPr>
              <w:spacing w:after="0" w:line="240" w:lineRule="auto"/>
              <w:rPr>
                <w:color w:val="376092" w:themeColor="accent1" w:themeShade="BF"/>
              </w:rPr>
            </w:pPr>
            <w:r>
              <w:rPr>
                <w:color w:val="376092" w:themeColor="accent1" w:themeShade="BF"/>
              </w:rPr>
              <w:t>50</w:t>
            </w:r>
          </w:p>
        </w:tc>
        <w:tc>
          <w:tcPr>
            <w:tcW w:w="2160" w:type="dxa"/>
          </w:tcPr>
          <w:p w14:paraId="55BFDE59">
            <w:pPr>
              <w:spacing w:after="0" w:line="240" w:lineRule="auto"/>
              <w:rPr>
                <w:color w:val="376092" w:themeColor="accent1" w:themeShade="BF"/>
              </w:rPr>
            </w:pPr>
            <w:r>
              <w:rPr>
                <w:color w:val="376092" w:themeColor="accent1" w:themeShade="BF"/>
              </w:rPr>
              <w:t>手术室、麻醉科术中用药</w:t>
            </w:r>
          </w:p>
        </w:tc>
        <w:tc>
          <w:tcPr>
            <w:tcW w:w="2160" w:type="dxa"/>
          </w:tcPr>
          <w:p w14:paraId="1ACB0412">
            <w:pPr>
              <w:spacing w:after="0" w:line="240" w:lineRule="auto"/>
              <w:rPr>
                <w:color w:val="376092" w:themeColor="accent1" w:themeShade="BF"/>
              </w:rPr>
            </w:pPr>
            <w:r>
              <w:rPr>
                <w:color w:val="376092" w:themeColor="accent1" w:themeShade="BF"/>
              </w:rPr>
              <w:t>仅限麻精药品、肌松、术中辅助药；双人双锁严格管控</w:t>
            </w:r>
          </w:p>
        </w:tc>
      </w:tr>
      <w:tr w14:paraId="4EBE69C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7C12E56F">
            <w:pPr>
              <w:spacing w:after="0" w:line="240" w:lineRule="auto"/>
              <w:rPr>
                <w:color w:val="376092" w:themeColor="accent1" w:themeShade="BF"/>
              </w:rPr>
            </w:pPr>
            <w:r>
              <w:rPr>
                <w:color w:val="376092" w:themeColor="accent1" w:themeShade="BF"/>
              </w:rPr>
              <w:t>生殖中心药房</w:t>
            </w:r>
          </w:p>
        </w:tc>
        <w:tc>
          <w:tcPr>
            <w:tcW w:w="2160" w:type="dxa"/>
          </w:tcPr>
          <w:p w14:paraId="47169073">
            <w:pPr>
              <w:spacing w:after="0" w:line="240" w:lineRule="auto"/>
              <w:rPr>
                <w:color w:val="376092" w:themeColor="accent1" w:themeShade="BF"/>
              </w:rPr>
            </w:pPr>
            <w:r>
              <w:rPr>
                <w:color w:val="376092" w:themeColor="accent1" w:themeShade="BF"/>
              </w:rPr>
              <w:t>61</w:t>
            </w:r>
          </w:p>
        </w:tc>
        <w:tc>
          <w:tcPr>
            <w:tcW w:w="2160" w:type="dxa"/>
          </w:tcPr>
          <w:p w14:paraId="3CE1DFEE">
            <w:pPr>
              <w:spacing w:after="0" w:line="240" w:lineRule="auto"/>
              <w:rPr>
                <w:color w:val="376092" w:themeColor="accent1" w:themeShade="BF"/>
              </w:rPr>
            </w:pPr>
            <w:r>
              <w:rPr>
                <w:color w:val="376092" w:themeColor="accent1" w:themeShade="BF"/>
              </w:rPr>
              <w:t>生殖、不孕不育、保胎、妇科内分泌用药</w:t>
            </w:r>
          </w:p>
        </w:tc>
        <w:tc>
          <w:tcPr>
            <w:tcW w:w="2160" w:type="dxa"/>
          </w:tcPr>
          <w:p w14:paraId="6FD00192">
            <w:pPr>
              <w:spacing w:after="0" w:line="240" w:lineRule="auto"/>
              <w:rPr>
                <w:color w:val="376092" w:themeColor="accent1" w:themeShade="BF"/>
              </w:rPr>
            </w:pPr>
            <w:r>
              <w:rPr>
                <w:color w:val="376092" w:themeColor="accent1" w:themeShade="BF"/>
              </w:rPr>
              <w:t>单独设立生殖妇幼子目录；标注致畸/孕期禁忌；激素类专项审核</w:t>
            </w:r>
          </w:p>
        </w:tc>
      </w:tr>
      <w:tr w14:paraId="7F5EBDC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7A9EFDA6">
            <w:pPr>
              <w:spacing w:after="0" w:line="240" w:lineRule="auto"/>
              <w:rPr>
                <w:color w:val="376092" w:themeColor="accent1" w:themeShade="BF"/>
              </w:rPr>
            </w:pPr>
            <w:r>
              <w:rPr>
                <w:color w:val="376092" w:themeColor="accent1" w:themeShade="BF"/>
              </w:rPr>
              <w:t>药库</w:t>
            </w:r>
          </w:p>
        </w:tc>
        <w:tc>
          <w:tcPr>
            <w:tcW w:w="2160" w:type="dxa"/>
          </w:tcPr>
          <w:p w14:paraId="6E851A51">
            <w:pPr>
              <w:spacing w:after="0" w:line="240" w:lineRule="auto"/>
              <w:rPr>
                <w:color w:val="376092" w:themeColor="accent1" w:themeShade="BF"/>
              </w:rPr>
            </w:pPr>
            <w:r>
              <w:rPr>
                <w:color w:val="376092" w:themeColor="accent1" w:themeShade="BF"/>
              </w:rPr>
              <w:t>486</w:t>
            </w:r>
          </w:p>
        </w:tc>
        <w:tc>
          <w:tcPr>
            <w:tcW w:w="2160" w:type="dxa"/>
          </w:tcPr>
          <w:p w14:paraId="210668C1">
            <w:pPr>
              <w:spacing w:after="0" w:line="240" w:lineRule="auto"/>
              <w:rPr>
                <w:color w:val="376092" w:themeColor="accent1" w:themeShade="BF"/>
              </w:rPr>
            </w:pPr>
            <w:r>
              <w:rPr>
                <w:color w:val="376092" w:themeColor="accent1" w:themeShade="BF"/>
              </w:rPr>
              <w:t>全院药品仓储、周转、备货</w:t>
            </w:r>
          </w:p>
        </w:tc>
        <w:tc>
          <w:tcPr>
            <w:tcW w:w="2160" w:type="dxa"/>
          </w:tcPr>
          <w:p w14:paraId="484D7233">
            <w:pPr>
              <w:spacing w:after="0" w:line="240" w:lineRule="auto"/>
              <w:rPr>
                <w:color w:val="376092" w:themeColor="accent1" w:themeShade="BF"/>
              </w:rPr>
            </w:pPr>
            <w:r>
              <w:rPr>
                <w:color w:val="376092" w:themeColor="accent1" w:themeShade="BF"/>
              </w:rPr>
              <w:t>收录全院在用药品；分区仓储；设置急救/紧缺药品安全库存</w:t>
            </w:r>
          </w:p>
        </w:tc>
      </w:tr>
    </w:tbl>
    <w:p w14:paraId="15B0E504">
      <w:pPr>
        <w:pStyle w:val="5"/>
      </w:pPr>
      <w:r>
        <w:t>（四）特殊药品管理规则</w:t>
      </w:r>
    </w:p>
    <w:p w14:paraId="598CCB76">
      <w:r>
        <w:t>· 麻醉药品+第一类精神药品：统一目录，全程追溯，严格执行印鉴卡、专用处方制度。</w:t>
      </w:r>
    </w:p>
    <w:p w14:paraId="57A7874B">
      <w:r>
        <w:t>· 第二类精神药品：各区域按需限量配备，处方限量、按月盘点。</w:t>
      </w:r>
    </w:p>
    <w:p w14:paraId="39DD8864">
      <w:r>
        <w:t>· 抗菌药物：执行非限制、限制、特殊使用三级管理，落实处方点评。</w:t>
      </w:r>
    </w:p>
    <w:p w14:paraId="616B2686">
      <w:r>
        <w:t>· 血液科化疗药物：纳入静配中心集中调配，专人管理、专项防护。</w:t>
      </w:r>
    </w:p>
    <w:p w14:paraId="3A963E7E">
      <w:r>
        <w:t>· 生殖毒性/孕期禁用药品：全目录警示标注，生殖区域非必要不配备。</w:t>
      </w:r>
    </w:p>
    <w:p w14:paraId="4DCF56C2">
      <w:r>
        <w:t>· 其他需特殊管理的药品：对于易制毒化学品、高警示药品（如高浓度电解质、胰岛素）、放射性药品等，遵照国家相关专项管理规定及我院《高警示药品管理制度》执行，实行色标管理、专用标识、双人核对等强化管控措施。</w:t>
      </w:r>
    </w:p>
    <w:p w14:paraId="32FC5C25">
      <w:pPr>
        <w:pStyle w:val="5"/>
      </w:pPr>
      <w:r>
        <w:t>（五）目录动态调整与评审规则</w:t>
      </w:r>
    </w:p>
    <w:p w14:paraId="1C2143F0">
      <w:r>
        <w:t>· 调整频次：每季度微调，每年全面大修；突发政策/药品风险即时调整。</w:t>
      </w:r>
    </w:p>
    <w:p w14:paraId="61AAAB06">
      <w:r>
        <w:t>· 调整流程：科室申请→药学评估→药事委员会审议→公示→系统更新。</w:t>
      </w:r>
    </w:p>
    <w:p w14:paraId="720A0638">
      <w:r>
        <w:t>· 退出规则：药品退市、严重不良反应、连续 6 个月零处方（急救药、罕见病用药及经药事会确认的储备药品除外），由药学部门向对应科室发出预警，经科室书面确认无继续保留必要后，直接调出。有更优替代品种直接调出。</w:t>
      </w:r>
    </w:p>
    <w:p w14:paraId="5A128073">
      <w:r>
        <w:t>· 联动规则：雨花院区目录以总院目录为基准蓝本。原则上，总院目录中除与本院区科室设置、诊疗范围完全无关的品种外，均应纳入。本院区因专科特色确需增加总院目录未收录的药品，需按本制度"限制收录品种"程序报批，并适时向总院药事会备案，作为总院目录更新的参考。本院区不得随意剔除总院目录中的国家基本药物、集采中选药品及临床常用必需药品。</w:t>
      </w:r>
    </w:p>
    <w:p w14:paraId="38F5F381">
      <w:pPr>
        <w:pStyle w:val="5"/>
      </w:pPr>
      <w:r>
        <w:t>（六）溯源与台账规则</w:t>
      </w:r>
    </w:p>
    <w:p w14:paraId="05F7927D">
      <w:r>
        <w:t>每个品种标注基药、医保、集采、适用科室、禁忌人群等溯源信息；建立电子+纸质台账，留存评审记录、资质文件；目录与医院 HIS、静配系统权限绑定。</w:t>
      </w:r>
    </w:p>
    <w:p w14:paraId="7E2E1432">
      <w:pPr>
        <w:pStyle w:val="4"/>
      </w:pPr>
      <w:r>
        <w:t>三、大类药品目录</w:t>
      </w:r>
    </w:p>
    <w:p w14:paraId="2D0F6A82">
      <w:pPr>
        <w:pStyle w:val="5"/>
      </w:pPr>
      <w:r>
        <w:t>（一）全院通用基础八大类</w:t>
      </w:r>
    </w:p>
    <w:p w14:paraId="65952817">
      <w:r>
        <w:t>· 化学药品：抗感染药、心血管药、消化系统药、呼吸系统药、神经精神类药、内分泌激素类药、血液系统药、骨骼肌肉系统用药。</w:t>
      </w:r>
    </w:p>
    <w:p w14:paraId="2B16EEE0">
      <w:r>
        <w:t>· 生物制品：疫苗、免疫球蛋白、细胞因子、单克隆抗体、凝血因子（冷链管控）。</w:t>
      </w:r>
    </w:p>
    <w:p w14:paraId="7E50AF97">
      <w:r>
        <w:t>· 中成药：内科、骨伤科、妇科生殖、急诊急救类内服/外用中成药。</w:t>
      </w:r>
    </w:p>
    <w:p w14:paraId="4C4DC9D6">
      <w:r>
        <w:t>· 外用药品：皮肤制剂、五官科制剂、消毒防腐药、创面用药。</w:t>
      </w:r>
    </w:p>
    <w:p w14:paraId="6A41A555">
      <w:r>
        <w:t>· 麻醉及手术室专用药品：全麻、局麻、肌松药、术中镇痛、术后镇痛用药。</w:t>
      </w:r>
    </w:p>
    <w:p w14:paraId="0BA8AE15">
      <w:r>
        <w:t>· 静脉用药（静配中心专属）：基础输液、治疗性输液、肠外营养、化疗输液。</w:t>
      </w:r>
    </w:p>
    <w:p w14:paraId="4B35735F">
      <w:r>
        <w:t>· 生殖医学&amp;妇幼专用药品：促排卵药、性激素、保胎药、妇科专科用药、孕产妇安全用药。</w:t>
      </w:r>
    </w:p>
    <w:p w14:paraId="38EA24BA">
      <w:r>
        <w:t>· 急救&amp;应急专项药品：心肺复苏、抗休克、解毒、抗过敏、创伤急救药品。</w:t>
      </w:r>
    </w:p>
    <w:p w14:paraId="16A43E62">
      <w:pPr>
        <w:pStyle w:val="5"/>
      </w:pPr>
      <w:r>
        <w:t>（二）分药房目录使用边界</w:t>
      </w:r>
    </w:p>
    <w:p w14:paraId="309D2395">
      <w:r>
        <w:t>· 门诊药房：通用化学药、中成药、外用药；禁用麻精药、化疗药、大型输液。</w:t>
      </w:r>
    </w:p>
    <w:p w14:paraId="41CD7640">
      <w:r>
        <w:t>· 急诊药房：全八大类精简版，以急救药品为核心。</w:t>
      </w:r>
    </w:p>
    <w:p w14:paraId="0B642959">
      <w:r>
        <w:t>· 住院+静配中心：全品类，承担静脉用药、化疗、高级抗菌药物调配。</w:t>
      </w:r>
    </w:p>
    <w:p w14:paraId="6FE77811">
      <w:r>
        <w:t>· 手麻药房：仅麻醉类药品及少量术中急救药。</w:t>
      </w:r>
    </w:p>
    <w:p w14:paraId="55CBFEAA">
      <w:r>
        <w:t>· 生殖中心药房：生殖妇幼专用药+基础内服药，严控致畸药品。</w:t>
      </w:r>
    </w:p>
    <w:p w14:paraId="54CA8285">
      <w:r>
        <w:t>· 药库：收录全院全部品类，统一仓储周转。</w:t>
      </w:r>
    </w:p>
    <w:p w14:paraId="293F4566">
      <w:pPr>
        <w:pStyle w:val="5"/>
      </w:pPr>
      <w:r>
        <w:t>（三）首批入驻科室重点用药品类</w:t>
      </w:r>
    </w:p>
    <w:p w14:paraId="15CD9E28">
      <w:r>
        <w:t>· 骨科：骨骼肌肉用药、围手术期抗菌药、止血抗凝药、外用骨伤制剂。</w:t>
      </w:r>
    </w:p>
    <w:p w14:paraId="4CF840CB">
      <w:r>
        <w:t>· 血液科：血液系统药、化疗药、免疫抑制剂、生物制品、肠外营养。</w:t>
      </w:r>
    </w:p>
    <w:p w14:paraId="765F634E">
      <w:r>
        <w:t>· 综合内科：心脑血管、消化、呼吸、降糖等慢病及急救药品。</w:t>
      </w:r>
    </w:p>
    <w:p w14:paraId="6592FE1A">
      <w:r>
        <w:t>· 综合外科：围手术期抗菌药、止血药、营养制剂、急救用药。</w:t>
      </w:r>
    </w:p>
    <w:p w14:paraId="12453FA3">
      <w:r>
        <w:t>· 生殖中心：促排卵、保胎、妇科激素、调经类专科用药。</w:t>
      </w:r>
    </w:p>
    <w:p w14:paraId="4DD60F10">
      <w:pPr>
        <w:pStyle w:val="4"/>
      </w:pPr>
      <w:r>
        <w:t>四、落地优化建议</w:t>
      </w:r>
    </w:p>
    <w:p w14:paraId="5E2A111D">
      <w:r>
        <w:t>· 目录统一标注基药、医保、集采、特殊管理、孕期禁忌、静配专属标签。</w:t>
      </w:r>
    </w:p>
    <w:p w14:paraId="7B233EE2">
      <w:r>
        <w:t>· HIS 系统按药房、科室、医师设置药品使用权限，分级管控。</w:t>
      </w:r>
    </w:p>
    <w:p w14:paraId="4873FDD5">
      <w:r>
        <w:t>· 试运行分阶段上线：先基础药+急救药，稳定后增补专科特药。</w:t>
      </w:r>
    </w:p>
    <w:p w14:paraId="73248CF6">
      <w:r>
        <w:t>· 建立短缺药品替代目录，保障临床连续用药。</w:t>
      </w:r>
    </w:p>
    <w:p w14:paraId="6CDAA316">
      <w:r>
        <w:t>· 依托目录开展抗菌药物、辅助用药、激素类药物专项处方点评。</w:t>
      </w:r>
    </w:p>
    <w:p w14:paraId="67E986D2">
      <w:r>
        <w:t>· 库存处理规则：药品调出目录后，药库及各药房应停止采购。对于现有库存，优先调配至其他仍在使用该药品的院区或科室（如有）；无法调配且在效期内的，与供应商协商退换货；过期或无法退换的，按医院资产处置规定进行报损。相关成本需在药品遴选时作为评估因素之一。</w:t>
      </w:r>
    </w:p>
    <w:p w14:paraId="55CE0C2C">
      <w:pPr>
        <w:pStyle w:val="4"/>
      </w:pPr>
      <w:r>
        <w:t>五、参考资料清单（共 20 篇/项，可溯源）</w:t>
      </w:r>
    </w:p>
    <w:p w14:paraId="7E67F05A">
      <w:r>
        <w:t>· 《中华人民共和国药品管理法》</w:t>
      </w:r>
    </w:p>
    <w:p w14:paraId="09362F30">
      <w:r>
        <w:t>· 《处方管理办法》</w:t>
      </w:r>
    </w:p>
    <w:p w14:paraId="1F0C369D">
      <w:r>
        <w:t>· 《医疗机构药事管理规定》</w:t>
      </w:r>
    </w:p>
    <w:p w14:paraId="281E0D80">
      <w:r>
        <w:t>· 国家卫健委《加强医疗机构药事管理促进合理用药的意见》</w:t>
      </w:r>
    </w:p>
    <w:p w14:paraId="7AD39BFF">
      <w:r>
        <w:t>· 《国家基本药物目录》</w:t>
      </w:r>
    </w:p>
    <w:p w14:paraId="0EC23D0F">
      <w:r>
        <w:t>· 《国家基本医疗保险、工伤保险和生育保险药品目录（2024 版）》</w:t>
      </w:r>
    </w:p>
    <w:p w14:paraId="5D22AB4A">
      <w:r>
        <w:t>· 《基本医疗保险用药管理暂行办法》</w:t>
      </w:r>
    </w:p>
    <w:p w14:paraId="15ED0A6E">
      <w:r>
        <w:t>· WS/T 841—2024《全国公立医疗卫生机构药品使用监测管理标准》</w:t>
      </w:r>
    </w:p>
    <w:p w14:paraId="2E5E8B07">
      <w:r>
        <w:t>· 《静脉用药调配中心（室）建设与管理规范》</w:t>
      </w:r>
    </w:p>
    <w:p w14:paraId="24D4D283">
      <w:r>
        <w:t>· 《麻醉药品和精神药品管理条例》</w:t>
      </w:r>
    </w:p>
    <w:p w14:paraId="2D1F1802">
      <w:r>
        <w:t>· 《抗菌药物临床应用管理办法》</w:t>
      </w:r>
    </w:p>
    <w:p w14:paraId="676DDB08">
      <w:r>
        <w:t>· 《易制毒化学品管理条例》</w:t>
      </w:r>
    </w:p>
    <w:p w14:paraId="4F13EAF9">
      <w:r>
        <w:t>· 《高警示药品管理制度》（院内制度）</w:t>
      </w:r>
    </w:p>
    <w:p w14:paraId="0683BEF1">
      <w:r>
        <w:t>· 妇产科临床用药专家共识</w:t>
      </w:r>
    </w:p>
    <w:p w14:paraId="050F5D8C">
      <w:r>
        <w:t>· 生殖医学临床用药专家共识</w:t>
      </w:r>
    </w:p>
    <w:p w14:paraId="14DA56A5">
      <w:r>
        <w:t>· 江苏省药品集中带量采购目录及实施方案</w:t>
      </w:r>
    </w:p>
    <w:p w14:paraId="3A4F0319">
      <w:r>
        <w:t>· 江苏省医疗机构药事管理实施细则</w:t>
      </w:r>
    </w:p>
    <w:p w14:paraId="71AC83D8">
      <w:r>
        <w:t>· 江苏省人民医院总院药品目录（现行版）</w:t>
      </w:r>
    </w:p>
    <w:p w14:paraId="6FBFAD55">
      <w:r>
        <w:t>· 江苏省人民医院雨花院区建设方案、科室设置及运营数据</w:t>
      </w:r>
    </w:p>
    <w:p w14:paraId="759D7F5E">
      <w:r>
        <w:t>· 江苏省妇幼保健院妇幼专科用药管理规范</w:t>
      </w:r>
    </w:p>
    <w:p w14:paraId="63FE44A5">
      <w:pPr>
        <w:pStyle w:val="4"/>
      </w:pPr>
      <w:r>
        <w:t>六、生效与解释</w:t>
      </w:r>
    </w:p>
    <w:p w14:paraId="261AA1C8">
      <w:r>
        <w:t>本制度经江苏省人民医院雨花院区药事管理与药物治疗学委员会第一次全体会议审议通过，自发布之日起生效。解释权归药学部（或药事会办公室）所有。</w:t>
      </w:r>
    </w:p>
    <w:p w14:paraId="0FF45871">
      <w:r>
        <w:br w:type="page"/>
      </w:r>
    </w:p>
    <w:p w14:paraId="723B318C">
      <w:pPr>
        <w:pStyle w:val="3"/>
      </w:pPr>
      <w:r>
        <w:t>第二部分 配套操作文件</w:t>
      </w:r>
    </w:p>
    <w:p w14:paraId="54A5D778">
      <w:pPr>
        <w:pStyle w:val="4"/>
      </w:pPr>
      <w:r>
        <w:t>附件1：药品目录遴选评分标准表</w:t>
      </w:r>
    </w:p>
    <w:p w14:paraId="71FFAB58">
      <w:r>
        <w:t>（用于药品新增/调整的量化评审）</w:t>
      </w:r>
    </w:p>
    <w:tbl>
      <w:tblPr>
        <w:tblStyle w:val="35"/>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0"/>
        <w:gridCol w:w="2160"/>
        <w:gridCol w:w="2160"/>
        <w:gridCol w:w="2160"/>
      </w:tblGrid>
      <w:tr w14:paraId="52AE4E0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648184D5">
            <w:pPr>
              <w:spacing w:after="0" w:line="240" w:lineRule="auto"/>
              <w:rPr>
                <w:color w:val="376092" w:themeColor="accent1" w:themeShade="BF"/>
              </w:rPr>
            </w:pPr>
            <w:r>
              <w:rPr>
                <w:color w:val="376092" w:themeColor="accent1" w:themeShade="BF"/>
              </w:rPr>
              <w:t>评审维度</w:t>
            </w:r>
          </w:p>
        </w:tc>
        <w:tc>
          <w:tcPr>
            <w:tcW w:w="2160" w:type="dxa"/>
          </w:tcPr>
          <w:p w14:paraId="2E194C16">
            <w:pPr>
              <w:spacing w:after="0" w:line="240" w:lineRule="auto"/>
              <w:rPr>
                <w:color w:val="376092" w:themeColor="accent1" w:themeShade="BF"/>
              </w:rPr>
            </w:pPr>
            <w:r>
              <w:rPr>
                <w:color w:val="376092" w:themeColor="accent1" w:themeShade="BF"/>
              </w:rPr>
              <w:t>评分项目</w:t>
            </w:r>
          </w:p>
        </w:tc>
        <w:tc>
          <w:tcPr>
            <w:tcW w:w="2160" w:type="dxa"/>
          </w:tcPr>
          <w:p w14:paraId="0A3D2737">
            <w:pPr>
              <w:spacing w:after="0" w:line="240" w:lineRule="auto"/>
              <w:rPr>
                <w:color w:val="376092" w:themeColor="accent1" w:themeShade="BF"/>
              </w:rPr>
            </w:pPr>
            <w:r>
              <w:rPr>
                <w:color w:val="376092" w:themeColor="accent1" w:themeShade="BF"/>
              </w:rPr>
              <w:t>评分标准（0-10分）</w:t>
            </w:r>
          </w:p>
        </w:tc>
        <w:tc>
          <w:tcPr>
            <w:tcW w:w="2160" w:type="dxa"/>
          </w:tcPr>
          <w:p w14:paraId="5DD2EC2B">
            <w:pPr>
              <w:spacing w:after="0" w:line="240" w:lineRule="auto"/>
              <w:rPr>
                <w:color w:val="376092" w:themeColor="accent1" w:themeShade="BF"/>
              </w:rPr>
            </w:pPr>
            <w:r>
              <w:rPr>
                <w:color w:val="376092" w:themeColor="accent1" w:themeShade="BF"/>
              </w:rPr>
              <w:t>权重</w:t>
            </w:r>
          </w:p>
        </w:tc>
      </w:tr>
      <w:tr w14:paraId="0EE84AA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7C5CE997">
            <w:pPr>
              <w:spacing w:after="0" w:line="240" w:lineRule="auto"/>
              <w:rPr>
                <w:color w:val="376092" w:themeColor="accent1" w:themeShade="BF"/>
              </w:rPr>
            </w:pPr>
            <w:r>
              <w:rPr>
                <w:color w:val="376092" w:themeColor="accent1" w:themeShade="BF"/>
              </w:rPr>
              <w:t>临床必需性</w:t>
            </w:r>
          </w:p>
        </w:tc>
        <w:tc>
          <w:tcPr>
            <w:tcW w:w="2160" w:type="dxa"/>
          </w:tcPr>
          <w:p w14:paraId="54782906">
            <w:pPr>
              <w:spacing w:after="0" w:line="240" w:lineRule="auto"/>
              <w:rPr>
                <w:color w:val="376092" w:themeColor="accent1" w:themeShade="BF"/>
              </w:rPr>
            </w:pPr>
            <w:r>
              <w:rPr>
                <w:color w:val="376092" w:themeColor="accent1" w:themeShade="BF"/>
              </w:rPr>
              <w:t>治疗地位</w:t>
            </w:r>
          </w:p>
        </w:tc>
        <w:tc>
          <w:tcPr>
            <w:tcW w:w="2160" w:type="dxa"/>
          </w:tcPr>
          <w:p w14:paraId="5D5DA874">
            <w:pPr>
              <w:spacing w:after="0" w:line="240" w:lineRule="auto"/>
              <w:rPr>
                <w:color w:val="376092" w:themeColor="accent1" w:themeShade="BF"/>
              </w:rPr>
            </w:pPr>
            <w:r>
              <w:rPr>
                <w:color w:val="376092" w:themeColor="accent1" w:themeShade="BF"/>
              </w:rPr>
              <w:t>一线首选=10，二线=6，三线/辅助=3，可替代=0</w:t>
            </w:r>
          </w:p>
        </w:tc>
        <w:tc>
          <w:tcPr>
            <w:tcW w:w="2160" w:type="dxa"/>
          </w:tcPr>
          <w:p w14:paraId="3D8B81B5">
            <w:pPr>
              <w:spacing w:after="0" w:line="240" w:lineRule="auto"/>
              <w:rPr>
                <w:color w:val="376092" w:themeColor="accent1" w:themeShade="BF"/>
              </w:rPr>
            </w:pPr>
            <w:r>
              <w:rPr>
                <w:color w:val="376092" w:themeColor="accent1" w:themeShade="BF"/>
              </w:rPr>
              <w:t>30%</w:t>
            </w:r>
          </w:p>
        </w:tc>
      </w:tr>
      <w:tr w14:paraId="6981BC0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47F4CF87">
            <w:pPr>
              <w:spacing w:after="0" w:line="240" w:lineRule="auto"/>
              <w:rPr>
                <w:color w:val="376092" w:themeColor="accent1" w:themeShade="BF"/>
              </w:rPr>
            </w:pPr>
          </w:p>
        </w:tc>
        <w:tc>
          <w:tcPr>
            <w:tcW w:w="2160" w:type="dxa"/>
          </w:tcPr>
          <w:p w14:paraId="1DD1EDE8">
            <w:pPr>
              <w:spacing w:after="0" w:line="240" w:lineRule="auto"/>
              <w:rPr>
                <w:color w:val="376092" w:themeColor="accent1" w:themeShade="BF"/>
              </w:rPr>
            </w:pPr>
            <w:r>
              <w:rPr>
                <w:color w:val="376092" w:themeColor="accent1" w:themeShade="BF"/>
              </w:rPr>
              <w:t>适应症覆盖</w:t>
            </w:r>
          </w:p>
        </w:tc>
        <w:tc>
          <w:tcPr>
            <w:tcW w:w="2160" w:type="dxa"/>
          </w:tcPr>
          <w:p w14:paraId="2AC97989">
            <w:pPr>
              <w:spacing w:after="0" w:line="240" w:lineRule="auto"/>
              <w:rPr>
                <w:color w:val="376092" w:themeColor="accent1" w:themeShade="BF"/>
              </w:rPr>
            </w:pPr>
            <w:r>
              <w:rPr>
                <w:color w:val="376092" w:themeColor="accent1" w:themeShade="BF"/>
              </w:rPr>
              <w:t>覆盖多病种/多科室=10，单病种=6，窄适应症=3</w:t>
            </w:r>
          </w:p>
        </w:tc>
        <w:tc>
          <w:tcPr>
            <w:tcW w:w="2160" w:type="dxa"/>
          </w:tcPr>
          <w:p w14:paraId="60650A59">
            <w:pPr>
              <w:spacing w:after="0" w:line="240" w:lineRule="auto"/>
              <w:rPr>
                <w:color w:val="376092" w:themeColor="accent1" w:themeShade="BF"/>
              </w:rPr>
            </w:pPr>
            <w:r>
              <w:rPr>
                <w:color w:val="376092" w:themeColor="accent1" w:themeShade="BF"/>
              </w:rPr>
              <w:t>15%</w:t>
            </w:r>
          </w:p>
        </w:tc>
      </w:tr>
      <w:tr w14:paraId="5736FD2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4B0FE286">
            <w:pPr>
              <w:spacing w:after="0" w:line="240" w:lineRule="auto"/>
              <w:rPr>
                <w:color w:val="376092" w:themeColor="accent1" w:themeShade="BF"/>
              </w:rPr>
            </w:pPr>
          </w:p>
        </w:tc>
        <w:tc>
          <w:tcPr>
            <w:tcW w:w="2160" w:type="dxa"/>
          </w:tcPr>
          <w:p w14:paraId="683ACFCD">
            <w:pPr>
              <w:spacing w:after="0" w:line="240" w:lineRule="auto"/>
              <w:rPr>
                <w:color w:val="376092" w:themeColor="accent1" w:themeShade="BF"/>
              </w:rPr>
            </w:pPr>
            <w:r>
              <w:rPr>
                <w:color w:val="376092" w:themeColor="accent1" w:themeShade="BF"/>
              </w:rPr>
              <w:t>临床指南推荐</w:t>
            </w:r>
          </w:p>
        </w:tc>
        <w:tc>
          <w:tcPr>
            <w:tcW w:w="2160" w:type="dxa"/>
          </w:tcPr>
          <w:p w14:paraId="2650815D">
            <w:pPr>
              <w:spacing w:after="0" w:line="240" w:lineRule="auto"/>
              <w:rPr>
                <w:color w:val="376092" w:themeColor="accent1" w:themeShade="BF"/>
              </w:rPr>
            </w:pPr>
            <w:r>
              <w:rPr>
                <w:color w:val="376092" w:themeColor="accent1" w:themeShade="BF"/>
              </w:rPr>
              <w:t>A类=10，B类=6，C类=3，无推荐=0</w:t>
            </w:r>
          </w:p>
        </w:tc>
        <w:tc>
          <w:tcPr>
            <w:tcW w:w="2160" w:type="dxa"/>
          </w:tcPr>
          <w:p w14:paraId="4E985F71">
            <w:pPr>
              <w:spacing w:after="0" w:line="240" w:lineRule="auto"/>
              <w:rPr>
                <w:color w:val="376092" w:themeColor="accent1" w:themeShade="BF"/>
              </w:rPr>
            </w:pPr>
            <w:r>
              <w:rPr>
                <w:color w:val="376092" w:themeColor="accent1" w:themeShade="BF"/>
              </w:rPr>
              <w:t>10%</w:t>
            </w:r>
          </w:p>
        </w:tc>
      </w:tr>
      <w:tr w14:paraId="74C83EA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227851C7">
            <w:pPr>
              <w:spacing w:after="0" w:line="240" w:lineRule="auto"/>
              <w:rPr>
                <w:color w:val="376092" w:themeColor="accent1" w:themeShade="BF"/>
              </w:rPr>
            </w:pPr>
            <w:r>
              <w:rPr>
                <w:color w:val="376092" w:themeColor="accent1" w:themeShade="BF"/>
              </w:rPr>
              <w:t>经济性</w:t>
            </w:r>
          </w:p>
        </w:tc>
        <w:tc>
          <w:tcPr>
            <w:tcW w:w="2160" w:type="dxa"/>
          </w:tcPr>
          <w:p w14:paraId="708E2565">
            <w:pPr>
              <w:spacing w:after="0" w:line="240" w:lineRule="auto"/>
              <w:rPr>
                <w:color w:val="376092" w:themeColor="accent1" w:themeShade="BF"/>
              </w:rPr>
            </w:pPr>
            <w:r>
              <w:rPr>
                <w:color w:val="376092" w:themeColor="accent1" w:themeShade="BF"/>
              </w:rPr>
              <w:t>药品单价</w:t>
            </w:r>
          </w:p>
        </w:tc>
        <w:tc>
          <w:tcPr>
            <w:tcW w:w="2160" w:type="dxa"/>
          </w:tcPr>
          <w:p w14:paraId="0F07C194">
            <w:pPr>
              <w:spacing w:after="0" w:line="240" w:lineRule="auto"/>
              <w:rPr>
                <w:color w:val="376092" w:themeColor="accent1" w:themeShade="BF"/>
              </w:rPr>
            </w:pPr>
            <w:r>
              <w:rPr>
                <w:color w:val="376092" w:themeColor="accent1" w:themeShade="BF"/>
              </w:rPr>
              <w:t>低于同类均值=10，持平=6，高于均值=3，过高=0</w:t>
            </w:r>
          </w:p>
        </w:tc>
        <w:tc>
          <w:tcPr>
            <w:tcW w:w="2160" w:type="dxa"/>
          </w:tcPr>
          <w:p w14:paraId="18422D08">
            <w:pPr>
              <w:spacing w:after="0" w:line="240" w:lineRule="auto"/>
              <w:rPr>
                <w:color w:val="376092" w:themeColor="accent1" w:themeShade="BF"/>
              </w:rPr>
            </w:pPr>
            <w:r>
              <w:rPr>
                <w:color w:val="376092" w:themeColor="accent1" w:themeShade="BF"/>
              </w:rPr>
              <w:t>15%</w:t>
            </w:r>
          </w:p>
        </w:tc>
      </w:tr>
      <w:tr w14:paraId="390888C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7917208B">
            <w:pPr>
              <w:spacing w:after="0" w:line="240" w:lineRule="auto"/>
              <w:rPr>
                <w:color w:val="376092" w:themeColor="accent1" w:themeShade="BF"/>
              </w:rPr>
            </w:pPr>
          </w:p>
        </w:tc>
        <w:tc>
          <w:tcPr>
            <w:tcW w:w="2160" w:type="dxa"/>
          </w:tcPr>
          <w:p w14:paraId="0AB79943">
            <w:pPr>
              <w:spacing w:after="0" w:line="240" w:lineRule="auto"/>
              <w:rPr>
                <w:color w:val="376092" w:themeColor="accent1" w:themeShade="BF"/>
              </w:rPr>
            </w:pPr>
            <w:r>
              <w:rPr>
                <w:color w:val="376092" w:themeColor="accent1" w:themeShade="BF"/>
              </w:rPr>
              <w:t>医保/集采状态</w:t>
            </w:r>
          </w:p>
        </w:tc>
        <w:tc>
          <w:tcPr>
            <w:tcW w:w="2160" w:type="dxa"/>
          </w:tcPr>
          <w:p w14:paraId="1401C525">
            <w:pPr>
              <w:spacing w:after="0" w:line="240" w:lineRule="auto"/>
              <w:rPr>
                <w:color w:val="376092" w:themeColor="accent1" w:themeShade="BF"/>
              </w:rPr>
            </w:pPr>
            <w:r>
              <w:rPr>
                <w:color w:val="376092" w:themeColor="accent1" w:themeShade="BF"/>
              </w:rPr>
              <w:t>基药+集采=10，医保=6，自费=3，无报销=0</w:t>
            </w:r>
          </w:p>
        </w:tc>
        <w:tc>
          <w:tcPr>
            <w:tcW w:w="2160" w:type="dxa"/>
          </w:tcPr>
          <w:p w14:paraId="62A5A40E">
            <w:pPr>
              <w:spacing w:after="0" w:line="240" w:lineRule="auto"/>
              <w:rPr>
                <w:color w:val="376092" w:themeColor="accent1" w:themeShade="BF"/>
              </w:rPr>
            </w:pPr>
            <w:r>
              <w:rPr>
                <w:color w:val="376092" w:themeColor="accent1" w:themeShade="BF"/>
              </w:rPr>
              <w:t>10%</w:t>
            </w:r>
          </w:p>
        </w:tc>
      </w:tr>
      <w:tr w14:paraId="72E74C9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547D19A0">
            <w:pPr>
              <w:spacing w:after="0" w:line="240" w:lineRule="auto"/>
              <w:rPr>
                <w:color w:val="376092" w:themeColor="accent1" w:themeShade="BF"/>
              </w:rPr>
            </w:pPr>
          </w:p>
        </w:tc>
        <w:tc>
          <w:tcPr>
            <w:tcW w:w="2160" w:type="dxa"/>
          </w:tcPr>
          <w:p w14:paraId="7DA67CFB">
            <w:pPr>
              <w:spacing w:after="0" w:line="240" w:lineRule="auto"/>
              <w:rPr>
                <w:color w:val="376092" w:themeColor="accent1" w:themeShade="BF"/>
              </w:rPr>
            </w:pPr>
            <w:r>
              <w:rPr>
                <w:color w:val="376092" w:themeColor="accent1" w:themeShade="BF"/>
              </w:rPr>
              <w:t>疗程费用</w:t>
            </w:r>
          </w:p>
        </w:tc>
        <w:tc>
          <w:tcPr>
            <w:tcW w:w="2160" w:type="dxa"/>
          </w:tcPr>
          <w:p w14:paraId="57EF62F7">
            <w:pPr>
              <w:spacing w:after="0" w:line="240" w:lineRule="auto"/>
              <w:rPr>
                <w:color w:val="376092" w:themeColor="accent1" w:themeShade="BF"/>
              </w:rPr>
            </w:pPr>
            <w:r>
              <w:rPr>
                <w:color w:val="376092" w:themeColor="accent1" w:themeShade="BF"/>
              </w:rPr>
              <w:t>低于同类=10，持平=6，高于同类=3</w:t>
            </w:r>
          </w:p>
        </w:tc>
        <w:tc>
          <w:tcPr>
            <w:tcW w:w="2160" w:type="dxa"/>
          </w:tcPr>
          <w:p w14:paraId="6515A634">
            <w:pPr>
              <w:spacing w:after="0" w:line="240" w:lineRule="auto"/>
              <w:rPr>
                <w:color w:val="376092" w:themeColor="accent1" w:themeShade="BF"/>
              </w:rPr>
            </w:pPr>
            <w:r>
              <w:rPr>
                <w:color w:val="376092" w:themeColor="accent1" w:themeShade="BF"/>
              </w:rPr>
              <w:t>5%</w:t>
            </w:r>
          </w:p>
        </w:tc>
      </w:tr>
      <w:tr w14:paraId="6EB8770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4B488E3F">
            <w:pPr>
              <w:spacing w:after="0" w:line="240" w:lineRule="auto"/>
              <w:rPr>
                <w:color w:val="376092" w:themeColor="accent1" w:themeShade="BF"/>
              </w:rPr>
            </w:pPr>
            <w:r>
              <w:rPr>
                <w:color w:val="376092" w:themeColor="accent1" w:themeShade="BF"/>
              </w:rPr>
              <w:t>安全性</w:t>
            </w:r>
          </w:p>
        </w:tc>
        <w:tc>
          <w:tcPr>
            <w:tcW w:w="2160" w:type="dxa"/>
          </w:tcPr>
          <w:p w14:paraId="6D612F43">
            <w:pPr>
              <w:spacing w:after="0" w:line="240" w:lineRule="auto"/>
              <w:rPr>
                <w:color w:val="376092" w:themeColor="accent1" w:themeShade="BF"/>
              </w:rPr>
            </w:pPr>
            <w:r>
              <w:rPr>
                <w:color w:val="376092" w:themeColor="accent1" w:themeShade="BF"/>
              </w:rPr>
              <w:t>不良反应发生率</w:t>
            </w:r>
          </w:p>
        </w:tc>
        <w:tc>
          <w:tcPr>
            <w:tcW w:w="2160" w:type="dxa"/>
          </w:tcPr>
          <w:p w14:paraId="493AFAF2">
            <w:pPr>
              <w:spacing w:after="0" w:line="240" w:lineRule="auto"/>
              <w:rPr>
                <w:color w:val="376092" w:themeColor="accent1" w:themeShade="BF"/>
              </w:rPr>
            </w:pPr>
            <w:r>
              <w:rPr>
                <w:color w:val="376092" w:themeColor="accent1" w:themeShade="BF"/>
              </w:rPr>
              <w:t>低=10，中=6，高=3，严重=0</w:t>
            </w:r>
          </w:p>
        </w:tc>
        <w:tc>
          <w:tcPr>
            <w:tcW w:w="2160" w:type="dxa"/>
          </w:tcPr>
          <w:p w14:paraId="051EFCC9">
            <w:pPr>
              <w:spacing w:after="0" w:line="240" w:lineRule="auto"/>
              <w:rPr>
                <w:color w:val="376092" w:themeColor="accent1" w:themeShade="BF"/>
              </w:rPr>
            </w:pPr>
            <w:r>
              <w:rPr>
                <w:color w:val="376092" w:themeColor="accent1" w:themeShade="BF"/>
              </w:rPr>
              <w:t>10%</w:t>
            </w:r>
          </w:p>
        </w:tc>
      </w:tr>
      <w:tr w14:paraId="4D705FC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757EBBE2">
            <w:pPr>
              <w:spacing w:after="0" w:line="240" w:lineRule="auto"/>
              <w:rPr>
                <w:color w:val="376092" w:themeColor="accent1" w:themeShade="BF"/>
              </w:rPr>
            </w:pPr>
          </w:p>
        </w:tc>
        <w:tc>
          <w:tcPr>
            <w:tcW w:w="2160" w:type="dxa"/>
          </w:tcPr>
          <w:p w14:paraId="7BBC1B79">
            <w:pPr>
              <w:spacing w:after="0" w:line="240" w:lineRule="auto"/>
              <w:rPr>
                <w:color w:val="376092" w:themeColor="accent1" w:themeShade="BF"/>
              </w:rPr>
            </w:pPr>
            <w:r>
              <w:rPr>
                <w:color w:val="376092" w:themeColor="accent1" w:themeShade="BF"/>
              </w:rPr>
              <w:t>特殊人群安全性</w:t>
            </w:r>
          </w:p>
        </w:tc>
        <w:tc>
          <w:tcPr>
            <w:tcW w:w="2160" w:type="dxa"/>
          </w:tcPr>
          <w:p w14:paraId="01E46FC9">
            <w:pPr>
              <w:spacing w:after="0" w:line="240" w:lineRule="auto"/>
              <w:rPr>
                <w:color w:val="376092" w:themeColor="accent1" w:themeShade="BF"/>
              </w:rPr>
            </w:pPr>
            <w:r>
              <w:rPr>
                <w:color w:val="376092" w:themeColor="accent1" w:themeShade="BF"/>
              </w:rPr>
              <w:t>全人群安全=10，有禁忌=6，高风险=3</w:t>
            </w:r>
          </w:p>
        </w:tc>
        <w:tc>
          <w:tcPr>
            <w:tcW w:w="2160" w:type="dxa"/>
          </w:tcPr>
          <w:p w14:paraId="61AC1ED1">
            <w:pPr>
              <w:spacing w:after="0" w:line="240" w:lineRule="auto"/>
              <w:rPr>
                <w:color w:val="376092" w:themeColor="accent1" w:themeShade="BF"/>
              </w:rPr>
            </w:pPr>
            <w:r>
              <w:rPr>
                <w:color w:val="376092" w:themeColor="accent1" w:themeShade="BF"/>
              </w:rPr>
              <w:t>5%</w:t>
            </w:r>
          </w:p>
        </w:tc>
      </w:tr>
      <w:tr w14:paraId="5026133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5226FD31">
            <w:pPr>
              <w:spacing w:after="0" w:line="240" w:lineRule="auto"/>
              <w:rPr>
                <w:color w:val="376092" w:themeColor="accent1" w:themeShade="BF"/>
              </w:rPr>
            </w:pPr>
            <w:r>
              <w:rPr>
                <w:color w:val="376092" w:themeColor="accent1" w:themeShade="BF"/>
              </w:rPr>
              <w:t>可及性</w:t>
            </w:r>
          </w:p>
        </w:tc>
        <w:tc>
          <w:tcPr>
            <w:tcW w:w="2160" w:type="dxa"/>
          </w:tcPr>
          <w:p w14:paraId="39841275">
            <w:pPr>
              <w:spacing w:after="0" w:line="240" w:lineRule="auto"/>
              <w:rPr>
                <w:color w:val="376092" w:themeColor="accent1" w:themeShade="BF"/>
              </w:rPr>
            </w:pPr>
            <w:r>
              <w:rPr>
                <w:color w:val="376092" w:themeColor="accent1" w:themeShade="BF"/>
              </w:rPr>
              <w:t>供应稳定性</w:t>
            </w:r>
          </w:p>
        </w:tc>
        <w:tc>
          <w:tcPr>
            <w:tcW w:w="2160" w:type="dxa"/>
          </w:tcPr>
          <w:p w14:paraId="088BF807">
            <w:pPr>
              <w:spacing w:after="0" w:line="240" w:lineRule="auto"/>
              <w:rPr>
                <w:color w:val="376092" w:themeColor="accent1" w:themeShade="BF"/>
              </w:rPr>
            </w:pPr>
            <w:r>
              <w:rPr>
                <w:color w:val="376092" w:themeColor="accent1" w:themeShade="BF"/>
              </w:rPr>
              <w:t>长期稳定=10，偶有短缺=6，常短缺=3</w:t>
            </w:r>
          </w:p>
        </w:tc>
        <w:tc>
          <w:tcPr>
            <w:tcW w:w="2160" w:type="dxa"/>
          </w:tcPr>
          <w:p w14:paraId="64B03900">
            <w:pPr>
              <w:spacing w:after="0" w:line="240" w:lineRule="auto"/>
              <w:rPr>
                <w:color w:val="376092" w:themeColor="accent1" w:themeShade="BF"/>
              </w:rPr>
            </w:pPr>
            <w:r>
              <w:rPr>
                <w:color w:val="376092" w:themeColor="accent1" w:themeShade="BF"/>
              </w:rPr>
              <w:t>5%</w:t>
            </w:r>
          </w:p>
        </w:tc>
      </w:tr>
      <w:tr w14:paraId="55EF357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128C420C">
            <w:pPr>
              <w:spacing w:after="0" w:line="240" w:lineRule="auto"/>
              <w:rPr>
                <w:color w:val="376092" w:themeColor="accent1" w:themeShade="BF"/>
              </w:rPr>
            </w:pPr>
          </w:p>
        </w:tc>
        <w:tc>
          <w:tcPr>
            <w:tcW w:w="2160" w:type="dxa"/>
          </w:tcPr>
          <w:p w14:paraId="4190B507">
            <w:pPr>
              <w:spacing w:after="0" w:line="240" w:lineRule="auto"/>
              <w:rPr>
                <w:color w:val="376092" w:themeColor="accent1" w:themeShade="BF"/>
              </w:rPr>
            </w:pPr>
            <w:r>
              <w:rPr>
                <w:color w:val="376092" w:themeColor="accent1" w:themeShade="BF"/>
              </w:rPr>
              <w:t>储存要求</w:t>
            </w:r>
          </w:p>
        </w:tc>
        <w:tc>
          <w:tcPr>
            <w:tcW w:w="2160" w:type="dxa"/>
          </w:tcPr>
          <w:p w14:paraId="6099FDA6">
            <w:pPr>
              <w:spacing w:after="0" w:line="240" w:lineRule="auto"/>
              <w:rPr>
                <w:color w:val="376092" w:themeColor="accent1" w:themeShade="BF"/>
              </w:rPr>
            </w:pPr>
            <w:r>
              <w:rPr>
                <w:color w:val="376092" w:themeColor="accent1" w:themeShade="BF"/>
              </w:rPr>
              <w:t>常温=10，阴凉=6，冷藏=3，特殊储存=0</w:t>
            </w:r>
          </w:p>
        </w:tc>
        <w:tc>
          <w:tcPr>
            <w:tcW w:w="2160" w:type="dxa"/>
          </w:tcPr>
          <w:p w14:paraId="2D1EF267">
            <w:pPr>
              <w:spacing w:after="0" w:line="240" w:lineRule="auto"/>
              <w:rPr>
                <w:color w:val="376092" w:themeColor="accent1" w:themeShade="BF"/>
              </w:rPr>
            </w:pPr>
            <w:r>
              <w:rPr>
                <w:color w:val="376092" w:themeColor="accent1" w:themeShade="BF"/>
              </w:rPr>
              <w:t>3%</w:t>
            </w:r>
          </w:p>
        </w:tc>
      </w:tr>
      <w:tr w14:paraId="3393422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7C2F14EB">
            <w:pPr>
              <w:spacing w:after="0" w:line="240" w:lineRule="auto"/>
              <w:rPr>
                <w:color w:val="376092" w:themeColor="accent1" w:themeShade="BF"/>
              </w:rPr>
            </w:pPr>
          </w:p>
        </w:tc>
        <w:tc>
          <w:tcPr>
            <w:tcW w:w="2160" w:type="dxa"/>
          </w:tcPr>
          <w:p w14:paraId="68E4A2A7">
            <w:pPr>
              <w:spacing w:after="0" w:line="240" w:lineRule="auto"/>
              <w:rPr>
                <w:color w:val="376092" w:themeColor="accent1" w:themeShade="BF"/>
              </w:rPr>
            </w:pPr>
            <w:r>
              <w:rPr>
                <w:color w:val="376092" w:themeColor="accent1" w:themeShade="BF"/>
              </w:rPr>
              <w:t>剂型便利性</w:t>
            </w:r>
          </w:p>
        </w:tc>
        <w:tc>
          <w:tcPr>
            <w:tcW w:w="2160" w:type="dxa"/>
          </w:tcPr>
          <w:p w14:paraId="3739E4EF">
            <w:pPr>
              <w:spacing w:after="0" w:line="240" w:lineRule="auto"/>
              <w:rPr>
                <w:color w:val="376092" w:themeColor="accent1" w:themeShade="BF"/>
              </w:rPr>
            </w:pPr>
            <w:r>
              <w:rPr>
                <w:color w:val="376092" w:themeColor="accent1" w:themeShade="BF"/>
              </w:rPr>
              <w:t>口服/外用=10，注射=6，特殊剂型=3</w:t>
            </w:r>
          </w:p>
        </w:tc>
        <w:tc>
          <w:tcPr>
            <w:tcW w:w="2160" w:type="dxa"/>
          </w:tcPr>
          <w:p w14:paraId="6CB83BE0">
            <w:pPr>
              <w:spacing w:after="0" w:line="240" w:lineRule="auto"/>
              <w:rPr>
                <w:color w:val="376092" w:themeColor="accent1" w:themeShade="BF"/>
              </w:rPr>
            </w:pPr>
            <w:r>
              <w:rPr>
                <w:color w:val="376092" w:themeColor="accent1" w:themeShade="BF"/>
              </w:rPr>
              <w:t>2%</w:t>
            </w:r>
          </w:p>
        </w:tc>
      </w:tr>
    </w:tbl>
    <w:p w14:paraId="00E1681A">
      <w:r>
        <w:t>**评分规则**：</w:t>
      </w:r>
    </w:p>
    <w:p w14:paraId="05313CD4">
      <w:r>
        <w:t>1. 总分=∑(项目得分×权重)，满分100分</w:t>
      </w:r>
    </w:p>
    <w:p w14:paraId="24C9F1EB">
      <w:r>
        <w:t>2. 必收录品种（基药、集采、医保甲类）免评审，直接收录</w:t>
      </w:r>
    </w:p>
    <w:p w14:paraId="3C1E472C">
      <w:r>
        <w:t>3. 限制收录品种：总分≥80分可进入药事会评审，≥90分优先推荐</w:t>
      </w:r>
    </w:p>
    <w:p w14:paraId="3BF1332F">
      <w:r>
        <w:t>4. 总分&lt;60分原则上不予收录，特殊情况需药事会专项说明</w:t>
      </w:r>
    </w:p>
    <w:p w14:paraId="33D13796">
      <w:pPr>
        <w:pStyle w:val="4"/>
      </w:pPr>
      <w:r>
        <w:t>附件2：药品新增/退出申请表</w:t>
      </w:r>
    </w:p>
    <w:p w14:paraId="191A9662">
      <w:r>
        <w:t>（申请科室填写）</w:t>
      </w:r>
    </w:p>
    <w:tbl>
      <w:tblPr>
        <w:tblStyle w:val="35"/>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4FA1926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57AD2928">
            <w:pPr>
              <w:spacing w:after="0" w:line="240" w:lineRule="auto"/>
              <w:rPr>
                <w:color w:val="376092" w:themeColor="accent1" w:themeShade="BF"/>
              </w:rPr>
            </w:pPr>
            <w:r>
              <w:rPr>
                <w:color w:val="376092" w:themeColor="accent1" w:themeShade="BF"/>
              </w:rPr>
              <w:t>申请类型</w:t>
            </w:r>
          </w:p>
        </w:tc>
        <w:tc>
          <w:tcPr>
            <w:tcW w:w="4320" w:type="dxa"/>
          </w:tcPr>
          <w:p w14:paraId="69DD3379">
            <w:pPr>
              <w:spacing w:after="0" w:line="240" w:lineRule="auto"/>
              <w:rPr>
                <w:color w:val="376092" w:themeColor="accent1" w:themeShade="BF"/>
              </w:rPr>
            </w:pPr>
            <w:r>
              <w:rPr>
                <w:color w:val="376092" w:themeColor="accent1" w:themeShade="BF"/>
              </w:rPr>
              <w:t>□新增药品  □调整品规（增加/减少）  □退出药品</w:t>
            </w:r>
          </w:p>
        </w:tc>
      </w:tr>
      <w:tr w14:paraId="73F06C2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6696C8C8">
            <w:pPr>
              <w:spacing w:after="0" w:line="240" w:lineRule="auto"/>
              <w:rPr>
                <w:color w:val="376092" w:themeColor="accent1" w:themeShade="BF"/>
              </w:rPr>
            </w:pPr>
            <w:r>
              <w:rPr>
                <w:color w:val="376092" w:themeColor="accent1" w:themeShade="BF"/>
              </w:rPr>
              <w:t>药品通用名</w:t>
            </w:r>
          </w:p>
        </w:tc>
        <w:tc>
          <w:tcPr>
            <w:tcW w:w="4320" w:type="dxa"/>
          </w:tcPr>
          <w:p w14:paraId="4EA561D5">
            <w:pPr>
              <w:spacing w:after="0" w:line="240" w:lineRule="auto"/>
              <w:rPr>
                <w:color w:val="376092" w:themeColor="accent1" w:themeShade="BF"/>
              </w:rPr>
            </w:pPr>
          </w:p>
        </w:tc>
      </w:tr>
      <w:tr w14:paraId="34F5FF1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0CF3C8D7">
            <w:pPr>
              <w:spacing w:after="0" w:line="240" w:lineRule="auto"/>
              <w:rPr>
                <w:color w:val="376092" w:themeColor="accent1" w:themeShade="BF"/>
              </w:rPr>
            </w:pPr>
            <w:r>
              <w:rPr>
                <w:color w:val="376092" w:themeColor="accent1" w:themeShade="BF"/>
              </w:rPr>
              <w:t>商品名/生产企业</w:t>
            </w:r>
          </w:p>
        </w:tc>
        <w:tc>
          <w:tcPr>
            <w:tcW w:w="4320" w:type="dxa"/>
          </w:tcPr>
          <w:p w14:paraId="6D2CCB18">
            <w:pPr>
              <w:spacing w:after="0" w:line="240" w:lineRule="auto"/>
              <w:rPr>
                <w:color w:val="376092" w:themeColor="accent1" w:themeShade="BF"/>
              </w:rPr>
            </w:pPr>
          </w:p>
        </w:tc>
      </w:tr>
      <w:tr w14:paraId="70FA05A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5FF4FEF5">
            <w:pPr>
              <w:spacing w:after="0" w:line="240" w:lineRule="auto"/>
              <w:rPr>
                <w:color w:val="376092" w:themeColor="accent1" w:themeShade="BF"/>
              </w:rPr>
            </w:pPr>
            <w:r>
              <w:rPr>
                <w:color w:val="376092" w:themeColor="accent1" w:themeShade="BF"/>
              </w:rPr>
              <w:t>剂型/规格</w:t>
            </w:r>
          </w:p>
        </w:tc>
        <w:tc>
          <w:tcPr>
            <w:tcW w:w="4320" w:type="dxa"/>
          </w:tcPr>
          <w:p w14:paraId="368F6E0F">
            <w:pPr>
              <w:spacing w:after="0" w:line="240" w:lineRule="auto"/>
              <w:rPr>
                <w:color w:val="376092" w:themeColor="accent1" w:themeShade="BF"/>
              </w:rPr>
            </w:pPr>
          </w:p>
        </w:tc>
      </w:tr>
      <w:tr w14:paraId="4F1D643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67067ED2">
            <w:pPr>
              <w:spacing w:after="0" w:line="240" w:lineRule="auto"/>
              <w:rPr>
                <w:color w:val="376092" w:themeColor="accent1" w:themeShade="BF"/>
              </w:rPr>
            </w:pPr>
            <w:r>
              <w:rPr>
                <w:color w:val="376092" w:themeColor="accent1" w:themeShade="BF"/>
              </w:rPr>
              <w:t>药理分类/ATC编码</w:t>
            </w:r>
          </w:p>
        </w:tc>
        <w:tc>
          <w:tcPr>
            <w:tcW w:w="4320" w:type="dxa"/>
          </w:tcPr>
          <w:p w14:paraId="05992F15">
            <w:pPr>
              <w:spacing w:after="0" w:line="240" w:lineRule="auto"/>
              <w:rPr>
                <w:color w:val="376092" w:themeColor="accent1" w:themeShade="BF"/>
              </w:rPr>
            </w:pPr>
          </w:p>
        </w:tc>
      </w:tr>
      <w:tr w14:paraId="0CAB352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5CA21615">
            <w:pPr>
              <w:spacing w:after="0" w:line="240" w:lineRule="auto"/>
              <w:rPr>
                <w:color w:val="376092" w:themeColor="accent1" w:themeShade="BF"/>
              </w:rPr>
            </w:pPr>
            <w:r>
              <w:rPr>
                <w:color w:val="376092" w:themeColor="accent1" w:themeShade="BF"/>
              </w:rPr>
              <w:t>申请理由</w:t>
            </w:r>
          </w:p>
        </w:tc>
        <w:tc>
          <w:tcPr>
            <w:tcW w:w="4320" w:type="dxa"/>
          </w:tcPr>
          <w:p w14:paraId="7A104B20">
            <w:pPr>
              <w:spacing w:after="0" w:line="240" w:lineRule="auto"/>
              <w:rPr>
                <w:color w:val="376092" w:themeColor="accent1" w:themeShade="BF"/>
              </w:rPr>
            </w:pPr>
            <w:r>
              <w:rPr>
                <w:color w:val="376092" w:themeColor="accent1" w:themeShade="BF"/>
              </w:rPr>
              <w:t>（请详细说明：临床需求、替代现有药品优势、预期使用量等）</w:t>
            </w:r>
          </w:p>
        </w:tc>
      </w:tr>
      <w:tr w14:paraId="74B03C8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6A1F2EE5">
            <w:pPr>
              <w:spacing w:after="0" w:line="240" w:lineRule="auto"/>
              <w:rPr>
                <w:color w:val="376092" w:themeColor="accent1" w:themeShade="BF"/>
              </w:rPr>
            </w:pPr>
            <w:r>
              <w:rPr>
                <w:color w:val="376092" w:themeColor="accent1" w:themeShade="BF"/>
              </w:rPr>
              <w:t>适用科室/病区</w:t>
            </w:r>
          </w:p>
        </w:tc>
        <w:tc>
          <w:tcPr>
            <w:tcW w:w="4320" w:type="dxa"/>
          </w:tcPr>
          <w:p w14:paraId="5DA005D5">
            <w:pPr>
              <w:spacing w:after="0" w:line="240" w:lineRule="auto"/>
              <w:rPr>
                <w:color w:val="376092" w:themeColor="accent1" w:themeShade="BF"/>
              </w:rPr>
            </w:pPr>
          </w:p>
        </w:tc>
      </w:tr>
      <w:tr w14:paraId="6EBEABE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50E8DA62">
            <w:pPr>
              <w:spacing w:after="0" w:line="240" w:lineRule="auto"/>
              <w:rPr>
                <w:color w:val="376092" w:themeColor="accent1" w:themeShade="BF"/>
              </w:rPr>
            </w:pPr>
            <w:r>
              <w:rPr>
                <w:color w:val="376092" w:themeColor="accent1" w:themeShade="BF"/>
              </w:rPr>
              <w:t>预计年使用量</w:t>
            </w:r>
          </w:p>
        </w:tc>
        <w:tc>
          <w:tcPr>
            <w:tcW w:w="4320" w:type="dxa"/>
          </w:tcPr>
          <w:p w14:paraId="48951FE3">
            <w:pPr>
              <w:spacing w:after="0" w:line="240" w:lineRule="auto"/>
              <w:rPr>
                <w:color w:val="376092" w:themeColor="accent1" w:themeShade="BF"/>
              </w:rPr>
            </w:pPr>
            <w:r>
              <w:rPr>
                <w:color w:val="376092" w:themeColor="accent1" w:themeShade="BF"/>
              </w:rPr>
              <w:t>（支/盒/瓶）</w:t>
            </w:r>
          </w:p>
        </w:tc>
      </w:tr>
      <w:tr w14:paraId="2EB6C99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644ECD22">
            <w:pPr>
              <w:spacing w:after="0" w:line="240" w:lineRule="auto"/>
              <w:rPr>
                <w:color w:val="376092" w:themeColor="accent1" w:themeShade="BF"/>
              </w:rPr>
            </w:pPr>
            <w:r>
              <w:rPr>
                <w:color w:val="376092" w:themeColor="accent1" w:themeShade="BF"/>
              </w:rPr>
              <w:t>预计年费用</w:t>
            </w:r>
          </w:p>
        </w:tc>
        <w:tc>
          <w:tcPr>
            <w:tcW w:w="4320" w:type="dxa"/>
          </w:tcPr>
          <w:p w14:paraId="0184BA01">
            <w:pPr>
              <w:spacing w:after="0" w:line="240" w:lineRule="auto"/>
              <w:rPr>
                <w:color w:val="376092" w:themeColor="accent1" w:themeShade="BF"/>
              </w:rPr>
            </w:pPr>
            <w:r>
              <w:rPr>
                <w:color w:val="376092" w:themeColor="accent1" w:themeShade="BF"/>
              </w:rPr>
              <w:t>（元）</w:t>
            </w:r>
          </w:p>
        </w:tc>
      </w:tr>
      <w:tr w14:paraId="13B08FD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2BD4E0DE">
            <w:pPr>
              <w:spacing w:after="0" w:line="240" w:lineRule="auto"/>
              <w:rPr>
                <w:color w:val="376092" w:themeColor="accent1" w:themeShade="BF"/>
              </w:rPr>
            </w:pPr>
            <w:r>
              <w:rPr>
                <w:color w:val="376092" w:themeColor="accent1" w:themeShade="BF"/>
              </w:rPr>
              <w:t>医保/基药/集采状态</w:t>
            </w:r>
          </w:p>
        </w:tc>
        <w:tc>
          <w:tcPr>
            <w:tcW w:w="4320" w:type="dxa"/>
          </w:tcPr>
          <w:p w14:paraId="2B985703">
            <w:pPr>
              <w:spacing w:after="0" w:line="240" w:lineRule="auto"/>
              <w:rPr>
                <w:color w:val="376092" w:themeColor="accent1" w:themeShade="BF"/>
              </w:rPr>
            </w:pPr>
            <w:r>
              <w:rPr>
                <w:color w:val="376092" w:themeColor="accent1" w:themeShade="BF"/>
              </w:rPr>
              <w:t>□基药  □医保甲类  □医保乙类  □集采中选  □自费</w:t>
            </w:r>
          </w:p>
        </w:tc>
      </w:tr>
      <w:tr w14:paraId="19320BD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575E943D">
            <w:pPr>
              <w:spacing w:after="0" w:line="240" w:lineRule="auto"/>
              <w:rPr>
                <w:color w:val="376092" w:themeColor="accent1" w:themeShade="BF"/>
              </w:rPr>
            </w:pPr>
            <w:r>
              <w:rPr>
                <w:color w:val="376092" w:themeColor="accent1" w:themeShade="BF"/>
              </w:rPr>
              <w:t>特殊管理类别</w:t>
            </w:r>
          </w:p>
        </w:tc>
        <w:tc>
          <w:tcPr>
            <w:tcW w:w="4320" w:type="dxa"/>
          </w:tcPr>
          <w:p w14:paraId="58A2E6B8">
            <w:pPr>
              <w:spacing w:after="0" w:line="240" w:lineRule="auto"/>
              <w:rPr>
                <w:color w:val="376092" w:themeColor="accent1" w:themeShade="BF"/>
              </w:rPr>
            </w:pPr>
            <w:r>
              <w:rPr>
                <w:color w:val="376092" w:themeColor="accent1" w:themeShade="BF"/>
              </w:rPr>
              <w:t>□麻精一  □麻精二  □抗菌药物  □化疗药  □高警示  □其他</w:t>
            </w:r>
          </w:p>
        </w:tc>
      </w:tr>
      <w:tr w14:paraId="744D1D7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5193963A">
            <w:pPr>
              <w:spacing w:after="0" w:line="240" w:lineRule="auto"/>
              <w:rPr>
                <w:color w:val="376092" w:themeColor="accent1" w:themeShade="BF"/>
              </w:rPr>
            </w:pPr>
            <w:r>
              <w:rPr>
                <w:color w:val="376092" w:themeColor="accent1" w:themeShade="BF"/>
              </w:rPr>
              <w:t>替代现有药品</w:t>
            </w:r>
          </w:p>
        </w:tc>
        <w:tc>
          <w:tcPr>
            <w:tcW w:w="4320" w:type="dxa"/>
          </w:tcPr>
          <w:p w14:paraId="70930958">
            <w:pPr>
              <w:spacing w:after="0" w:line="240" w:lineRule="auto"/>
              <w:rPr>
                <w:color w:val="376092" w:themeColor="accent1" w:themeShade="BF"/>
              </w:rPr>
            </w:pPr>
            <w:r>
              <w:rPr>
                <w:color w:val="376092" w:themeColor="accent1" w:themeShade="BF"/>
              </w:rPr>
              <w:t>（如为新增，请说明替代哪个现有药品；如为退出，请说明替代方案）</w:t>
            </w:r>
          </w:p>
        </w:tc>
      </w:tr>
      <w:tr w14:paraId="21A6B95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1CF3FCCA">
            <w:pPr>
              <w:spacing w:after="0" w:line="240" w:lineRule="auto"/>
              <w:rPr>
                <w:color w:val="376092" w:themeColor="accent1" w:themeShade="BF"/>
              </w:rPr>
            </w:pPr>
            <w:r>
              <w:rPr>
                <w:color w:val="376092" w:themeColor="accent1" w:themeShade="BF"/>
              </w:rPr>
              <w:t>申请科室意见</w:t>
            </w:r>
          </w:p>
        </w:tc>
        <w:tc>
          <w:tcPr>
            <w:tcW w:w="4320" w:type="dxa"/>
          </w:tcPr>
          <w:p w14:paraId="080903FD">
            <w:pPr>
              <w:spacing w:after="0" w:line="240" w:lineRule="auto"/>
              <w:rPr>
                <w:color w:val="376092" w:themeColor="accent1" w:themeShade="BF"/>
              </w:rPr>
            </w:pPr>
            <w:r>
              <w:rPr>
                <w:color w:val="376092" w:themeColor="accent1" w:themeShade="BF"/>
              </w:rPr>
              <w:t>科主任签字：____________  日期：____年__月__日</w:t>
            </w:r>
          </w:p>
        </w:tc>
      </w:tr>
      <w:tr w14:paraId="653C119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619D3F6B">
            <w:pPr>
              <w:spacing w:after="0" w:line="240" w:lineRule="auto"/>
              <w:rPr>
                <w:color w:val="376092" w:themeColor="accent1" w:themeShade="BF"/>
              </w:rPr>
            </w:pPr>
            <w:r>
              <w:rPr>
                <w:color w:val="376092" w:themeColor="accent1" w:themeShade="BF"/>
              </w:rPr>
              <w:t>药学部门初审意见</w:t>
            </w:r>
          </w:p>
        </w:tc>
        <w:tc>
          <w:tcPr>
            <w:tcW w:w="4320" w:type="dxa"/>
          </w:tcPr>
          <w:p w14:paraId="3071222A">
            <w:pPr>
              <w:spacing w:after="0" w:line="240" w:lineRule="auto"/>
              <w:rPr>
                <w:color w:val="376092" w:themeColor="accent1" w:themeShade="BF"/>
              </w:rPr>
            </w:pPr>
            <w:r>
              <w:rPr>
                <w:color w:val="376092" w:themeColor="accent1" w:themeShade="BF"/>
              </w:rPr>
              <w:t>药师签字：____________  日期：____年__月__日</w:t>
            </w:r>
          </w:p>
        </w:tc>
      </w:tr>
      <w:tr w14:paraId="25B12EA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361CF721">
            <w:pPr>
              <w:spacing w:after="0" w:line="240" w:lineRule="auto"/>
              <w:rPr>
                <w:color w:val="376092" w:themeColor="accent1" w:themeShade="BF"/>
              </w:rPr>
            </w:pPr>
            <w:r>
              <w:rPr>
                <w:color w:val="376092" w:themeColor="accent1" w:themeShade="BF"/>
              </w:rPr>
              <w:t>药事会评审结果</w:t>
            </w:r>
          </w:p>
        </w:tc>
        <w:tc>
          <w:tcPr>
            <w:tcW w:w="4320" w:type="dxa"/>
          </w:tcPr>
          <w:p w14:paraId="0BC01CA9">
            <w:pPr>
              <w:spacing w:after="0" w:line="240" w:lineRule="auto"/>
              <w:rPr>
                <w:color w:val="376092" w:themeColor="accent1" w:themeShade="BF"/>
              </w:rPr>
            </w:pPr>
            <w:r>
              <w:rPr>
                <w:color w:val="376092" w:themeColor="accent1" w:themeShade="BF"/>
              </w:rPr>
              <w:t>□同意收录  □同意调整  □同意退出  □驳回</w:t>
            </w:r>
            <w:r>
              <w:rPr>
                <w:color w:val="376092" w:themeColor="accent1" w:themeShade="BF"/>
              </w:rPr>
              <w:br w:type="textWrapping"/>
            </w:r>
            <w:r>
              <w:rPr>
                <w:color w:val="376092" w:themeColor="accent1" w:themeShade="BF"/>
              </w:rPr>
              <w:t>评审委员签字：____________  日期：____年__月__日</w:t>
            </w:r>
          </w:p>
        </w:tc>
      </w:tr>
    </w:tbl>
    <w:p w14:paraId="5769308D">
      <w:pPr>
        <w:pStyle w:val="4"/>
      </w:pPr>
      <w:r>
        <w:t>附件3：雨花院区首批药品目录（草案）</w:t>
      </w:r>
    </w:p>
    <w:p w14:paraId="1C4007EB">
      <w:r>
        <w:t>（基于总院目录+雨花特色筛选，共约1200个西药品规+250个中成药品规）</w:t>
      </w:r>
    </w:p>
    <w:p w14:paraId="4C36890D">
      <w:pPr>
        <w:pStyle w:val="5"/>
      </w:pPr>
      <w:r>
        <w:t>一、西药部分（按药理分类）</w:t>
      </w:r>
    </w:p>
    <w:p w14:paraId="65E59327">
      <w:r>
        <w:t>**抗感染药物**：头孢唑林、头孢呋辛、阿莫西林克拉维酸、左氧氟沙星、万古霉素、伏立康唑等</w:t>
      </w:r>
    </w:p>
    <w:p w14:paraId="690D0E4F">
      <w:r>
        <w:t>**心血管系统**：阿司匹林、氯吡格雷、阿托伐他汀、美托洛尔、氨氯地平、缬沙坦等</w:t>
      </w:r>
    </w:p>
    <w:p w14:paraId="5AEE6372">
      <w:r>
        <w:t>**消化系统**：奥美拉唑、雷贝拉唑、多潘立酮、蒙脱石散、乳果糖等</w:t>
      </w:r>
    </w:p>
    <w:p w14:paraId="714A561A">
      <w:r>
        <w:t>**呼吸系统**：氨溴索、乙酰半胱氨酸、布地奈德、沙丁胺醇、孟鲁司特等</w:t>
      </w:r>
    </w:p>
    <w:p w14:paraId="4A5B302C">
      <w:r>
        <w:t>**神经精神**：丙戊酸钠、左乙拉西坦、奥氮平、舍曲林、多奈哌齐等</w:t>
      </w:r>
    </w:p>
    <w:p w14:paraId="6D884671">
      <w:r>
        <w:t>**内分泌代谢**：胰岛素类、二甲双胍、格列美脲、左甲状腺素、骨化三醇等</w:t>
      </w:r>
    </w:p>
    <w:p w14:paraId="628D03F8">
      <w:r>
        <w:t>**血液系统**：低分子肝素、华法林、重组人促红素、G-CSF、氨甲环酸等</w:t>
      </w:r>
    </w:p>
    <w:p w14:paraId="0DFB6992">
      <w:r>
        <w:t>**骨骼肌肉**：双氯芬酸、塞来昔布、乙哌立松、鲑降钙素、阿仑膦酸钠等</w:t>
      </w:r>
    </w:p>
    <w:p w14:paraId="0A488ECF">
      <w:r>
        <w:t>**抗肿瘤药物**：环磷酰胺、阿糖胞苷、多柔比星、紫杉醇、伊马替尼、利妥昔单抗等</w:t>
      </w:r>
    </w:p>
    <w:p w14:paraId="20F1F3D7">
      <w:r>
        <w:t>**麻醉镇痛**：丙泊酚、七氟烷、芬太尼、吗啡、曲马多、布洛芬等</w:t>
      </w:r>
    </w:p>
    <w:p w14:paraId="222DF48C">
      <w:r>
        <w:t>**调节免疫**：环孢素、他克莫司、吗替麦考酚酯、甲氨蝶呤、羟氯喹等</w:t>
      </w:r>
    </w:p>
    <w:p w14:paraId="17DF61EE">
      <w:r>
        <w:t>**专科用药**：促性腺激素、黄体酮、米非司酮、缩宫素、前列腺素等</w:t>
      </w:r>
    </w:p>
    <w:p w14:paraId="11A054B2">
      <w:pPr>
        <w:pStyle w:val="5"/>
      </w:pPr>
      <w:r>
        <w:t>二、中成药部分</w:t>
      </w:r>
    </w:p>
    <w:p w14:paraId="57714731">
      <w:r>
        <w:t>**内科**：连花清瘟胶囊、藿香正气水、复方丹参滴丸、稳心颗粒等</w:t>
      </w:r>
    </w:p>
    <w:p w14:paraId="3E55A1B5">
      <w:r>
        <w:t>**骨伤科**：云南白药、伤科接骨片、活血止痛胶囊等</w:t>
      </w:r>
    </w:p>
    <w:p w14:paraId="5336BD59">
      <w:r>
        <w:t>**妇科生殖**：桂枝茯苓胶囊、坤泰胶囊、定坤丹、滋肾育胎丸等</w:t>
      </w:r>
    </w:p>
    <w:p w14:paraId="10239B5B">
      <w:r>
        <w:t>**急诊急救**：安宫牛黄丸、速效救心丸、麝香保心丸等</w:t>
      </w:r>
    </w:p>
    <w:p w14:paraId="332E1E7C">
      <w:pPr>
        <w:pStyle w:val="5"/>
      </w:pPr>
      <w:r>
        <w:t>三、重点保障品类（首批科室）</w:t>
      </w:r>
    </w:p>
    <w:p w14:paraId="027D4FE7">
      <w:r>
        <w:t>**骨科（8病区）**：</w:t>
      </w:r>
    </w:p>
    <w:p w14:paraId="20308B68">
      <w:r>
        <w:t>· 围术期抗菌药：头孢唑林、头孢呋辛、万古霉素</w:t>
      </w:r>
    </w:p>
    <w:p w14:paraId="5FF07852">
      <w:r>
        <w:t>· 镇痛：塞来昔布、曲马多、吗啡、帕瑞昔布</w:t>
      </w:r>
    </w:p>
    <w:p w14:paraId="25A2F356">
      <w:r>
        <w:t>· 抗凝：低分子肝素、利伐沙班、阿哌沙班</w:t>
      </w:r>
    </w:p>
    <w:p w14:paraId="0A060852">
      <w:r>
        <w:t>· 骨代谢：阿仑膦酸钠、鲑降钙素、骨化三醇</w:t>
      </w:r>
    </w:p>
    <w:p w14:paraId="411511F0">
      <w:r>
        <w:t>· 外用：双氯芬酸二乙胺乳胶剂、氟比洛芬凝胶贴膏</w:t>
      </w:r>
    </w:p>
    <w:p w14:paraId="10FF736F">
      <w:r>
        <w:t>**血液科（8病区）**：</w:t>
      </w:r>
    </w:p>
    <w:p w14:paraId="1928F834">
      <w:r>
        <w:t>· 化疗药：环磷酰胺、阿糖胞苷、多柔比星、长春新碱、硼替佐米</w:t>
      </w:r>
    </w:p>
    <w:p w14:paraId="18DE87B3">
      <w:r>
        <w:t>· 靶向药：伊马替尼、利妥昔单抗、贝林妥欧单抗</w:t>
      </w:r>
    </w:p>
    <w:p w14:paraId="09833322">
      <w:r>
        <w:t>· 免疫抑制剂：环孢素、他克莫司、吗替麦考酚酯</w:t>
      </w:r>
    </w:p>
    <w:p w14:paraId="502C14C5">
      <w:r>
        <w:t>· 支持治疗：G-CSF、EPO、人血白蛋白、静注人免疫球蛋白</w:t>
      </w:r>
    </w:p>
    <w:p w14:paraId="03BDE53B">
      <w:r>
        <w:t>· 抗真菌：伏立康唑、卡泊芬净、两性霉素B</w:t>
      </w:r>
    </w:p>
    <w:p w14:paraId="0FFA015B">
      <w:r>
        <w:t>**生殖中心**：</w:t>
      </w:r>
    </w:p>
    <w:p w14:paraId="7EA3675F">
      <w:r>
        <w:t>· 促排卵：尿促性素、重组人促卵泡激素、绒促性素</w:t>
      </w:r>
    </w:p>
    <w:p w14:paraId="086523DC">
      <w:r>
        <w:t>· 黄体支持：黄体酮胶囊/注射液、地屈孕酮</w:t>
      </w:r>
    </w:p>
    <w:p w14:paraId="2C66B642">
      <w:r>
        <w:t>· 保胎：间苯三酚、盐酸利托君、硫酸镁</w:t>
      </w:r>
    </w:p>
    <w:p w14:paraId="3B600470">
      <w:r>
        <w:t>· 内分泌：戊酸雌二醇、炔雌醇环丙孕酮片</w:t>
      </w:r>
    </w:p>
    <w:p w14:paraId="698E6BA6">
      <w:pPr>
        <w:pStyle w:val="4"/>
      </w:pPr>
      <w:r>
        <w:t>附件4：版本记录与审批信息</w:t>
      </w:r>
    </w:p>
    <w:tbl>
      <w:tblPr>
        <w:tblStyle w:val="35"/>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8"/>
        <w:gridCol w:w="1728"/>
        <w:gridCol w:w="1728"/>
        <w:gridCol w:w="1728"/>
        <w:gridCol w:w="1728"/>
      </w:tblGrid>
      <w:tr w14:paraId="6DBABEE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Pr>
          <w:p w14:paraId="32BD58E2">
            <w:pPr>
              <w:spacing w:after="0" w:line="240" w:lineRule="auto"/>
              <w:rPr>
                <w:color w:val="376092" w:themeColor="accent1" w:themeShade="BF"/>
              </w:rPr>
            </w:pPr>
            <w:r>
              <w:rPr>
                <w:color w:val="376092" w:themeColor="accent1" w:themeShade="BF"/>
              </w:rPr>
              <w:t>版本</w:t>
            </w:r>
          </w:p>
        </w:tc>
        <w:tc>
          <w:tcPr>
            <w:tcW w:w="1728" w:type="dxa"/>
          </w:tcPr>
          <w:p w14:paraId="50AA7EE4">
            <w:pPr>
              <w:spacing w:after="0" w:line="240" w:lineRule="auto"/>
              <w:rPr>
                <w:color w:val="376092" w:themeColor="accent1" w:themeShade="BF"/>
              </w:rPr>
            </w:pPr>
            <w:r>
              <w:rPr>
                <w:color w:val="376092" w:themeColor="accent1" w:themeShade="BF"/>
              </w:rPr>
              <w:t>修订日期</w:t>
            </w:r>
          </w:p>
        </w:tc>
        <w:tc>
          <w:tcPr>
            <w:tcW w:w="1728" w:type="dxa"/>
          </w:tcPr>
          <w:p w14:paraId="0F20F287">
            <w:pPr>
              <w:spacing w:after="0" w:line="240" w:lineRule="auto"/>
              <w:rPr>
                <w:color w:val="376092" w:themeColor="accent1" w:themeShade="BF"/>
              </w:rPr>
            </w:pPr>
            <w:r>
              <w:rPr>
                <w:color w:val="376092" w:themeColor="accent1" w:themeShade="BF"/>
              </w:rPr>
              <w:t>修订内容摘要</w:t>
            </w:r>
          </w:p>
        </w:tc>
        <w:tc>
          <w:tcPr>
            <w:tcW w:w="1728" w:type="dxa"/>
          </w:tcPr>
          <w:p w14:paraId="27FD67C3">
            <w:pPr>
              <w:spacing w:after="0" w:line="240" w:lineRule="auto"/>
              <w:rPr>
                <w:color w:val="376092" w:themeColor="accent1" w:themeShade="BF"/>
              </w:rPr>
            </w:pPr>
            <w:r>
              <w:rPr>
                <w:color w:val="376092" w:themeColor="accent1" w:themeShade="BF"/>
              </w:rPr>
              <w:t>修订人</w:t>
            </w:r>
          </w:p>
        </w:tc>
        <w:tc>
          <w:tcPr>
            <w:tcW w:w="1728" w:type="dxa"/>
          </w:tcPr>
          <w:p w14:paraId="598A2105">
            <w:pPr>
              <w:spacing w:after="0" w:line="240" w:lineRule="auto"/>
              <w:rPr>
                <w:color w:val="376092" w:themeColor="accent1" w:themeShade="BF"/>
              </w:rPr>
            </w:pPr>
            <w:r>
              <w:rPr>
                <w:color w:val="376092" w:themeColor="accent1" w:themeShade="BF"/>
              </w:rPr>
              <w:t>审核/批准</w:t>
            </w:r>
          </w:p>
        </w:tc>
      </w:tr>
      <w:tr w14:paraId="56C8121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Pr>
          <w:p w14:paraId="3922FD4A">
            <w:pPr>
              <w:spacing w:after="0" w:line="240" w:lineRule="auto"/>
              <w:rPr>
                <w:color w:val="376092" w:themeColor="accent1" w:themeShade="BF"/>
              </w:rPr>
            </w:pPr>
            <w:r>
              <w:rPr>
                <w:color w:val="376092" w:themeColor="accent1" w:themeShade="BF"/>
              </w:rPr>
              <w:t>V1.0</w:t>
            </w:r>
          </w:p>
        </w:tc>
        <w:tc>
          <w:tcPr>
            <w:tcW w:w="1728" w:type="dxa"/>
          </w:tcPr>
          <w:p w14:paraId="123385F2">
            <w:pPr>
              <w:spacing w:after="0" w:line="240" w:lineRule="auto"/>
              <w:rPr>
                <w:color w:val="376092" w:themeColor="accent1" w:themeShade="BF"/>
              </w:rPr>
            </w:pPr>
            <w:r>
              <w:rPr>
                <w:color w:val="376092" w:themeColor="accent1" w:themeShade="BF"/>
              </w:rPr>
              <w:t>2026-06-10</w:t>
            </w:r>
          </w:p>
        </w:tc>
        <w:tc>
          <w:tcPr>
            <w:tcW w:w="1728" w:type="dxa"/>
          </w:tcPr>
          <w:p w14:paraId="5C32C046">
            <w:pPr>
              <w:spacing w:after="0" w:line="240" w:lineRule="auto"/>
              <w:rPr>
                <w:color w:val="376092" w:themeColor="accent1" w:themeShade="BF"/>
              </w:rPr>
            </w:pPr>
            <w:r>
              <w:rPr>
                <w:color w:val="376092" w:themeColor="accent1" w:themeShade="BF"/>
              </w:rPr>
              <w:t>初始版本制定</w:t>
            </w:r>
          </w:p>
        </w:tc>
        <w:tc>
          <w:tcPr>
            <w:tcW w:w="1728" w:type="dxa"/>
          </w:tcPr>
          <w:p w14:paraId="21825A11">
            <w:pPr>
              <w:spacing w:after="0" w:line="240" w:lineRule="auto"/>
              <w:rPr>
                <w:color w:val="376092" w:themeColor="accent1" w:themeShade="BF"/>
              </w:rPr>
            </w:pPr>
            <w:r>
              <w:rPr>
                <w:color w:val="376092" w:themeColor="accent1" w:themeShade="BF"/>
              </w:rPr>
              <w:t>药学部</w:t>
            </w:r>
          </w:p>
        </w:tc>
        <w:tc>
          <w:tcPr>
            <w:tcW w:w="1728" w:type="dxa"/>
          </w:tcPr>
          <w:p w14:paraId="67186765">
            <w:pPr>
              <w:spacing w:after="0" w:line="240" w:lineRule="auto"/>
              <w:rPr>
                <w:color w:val="376092" w:themeColor="accent1" w:themeShade="BF"/>
              </w:rPr>
            </w:pPr>
            <w:r>
              <w:rPr>
                <w:color w:val="376092" w:themeColor="accent1" w:themeShade="BF"/>
              </w:rPr>
              <w:t>药事会（草案）</w:t>
            </w:r>
          </w:p>
        </w:tc>
      </w:tr>
      <w:tr w14:paraId="4500CE9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Pr>
          <w:p w14:paraId="349E2BCA">
            <w:pPr>
              <w:spacing w:after="0" w:line="240" w:lineRule="auto"/>
              <w:rPr>
                <w:color w:val="376092" w:themeColor="accent1" w:themeShade="BF"/>
              </w:rPr>
            </w:pPr>
            <w:r>
              <w:rPr>
                <w:color w:val="376092" w:themeColor="accent1" w:themeShade="BF"/>
              </w:rPr>
              <w:t>V1.1</w:t>
            </w:r>
          </w:p>
        </w:tc>
        <w:tc>
          <w:tcPr>
            <w:tcW w:w="1728" w:type="dxa"/>
          </w:tcPr>
          <w:p w14:paraId="7BAEB495">
            <w:pPr>
              <w:spacing w:after="0" w:line="240" w:lineRule="auto"/>
              <w:rPr>
                <w:color w:val="376092" w:themeColor="accent1" w:themeShade="BF"/>
              </w:rPr>
            </w:pPr>
            <w:r>
              <w:rPr>
                <w:color w:val="376092" w:themeColor="accent1" w:themeShade="BF"/>
              </w:rPr>
              <w:t>2026-06-10</w:t>
            </w:r>
          </w:p>
        </w:tc>
        <w:tc>
          <w:tcPr>
            <w:tcW w:w="1728" w:type="dxa"/>
          </w:tcPr>
          <w:p w14:paraId="537ED4CA">
            <w:pPr>
              <w:spacing w:after="0" w:line="240" w:lineRule="auto"/>
              <w:rPr>
                <w:color w:val="376092" w:themeColor="accent1" w:themeShade="BF"/>
              </w:rPr>
            </w:pPr>
            <w:r>
              <w:rPr>
                <w:color w:val="376092" w:themeColor="accent1" w:themeShade="BF"/>
              </w:rPr>
              <w:t>1.修正编号逻辑 2.增加药事会授权条款 3.完善一品两规例外 4.增加退出预警 5.补充特殊药品范围 6.增加库存处理规则 7.明确总院联动机制</w:t>
            </w:r>
          </w:p>
        </w:tc>
        <w:tc>
          <w:tcPr>
            <w:tcW w:w="1728" w:type="dxa"/>
          </w:tcPr>
          <w:p w14:paraId="28345625">
            <w:pPr>
              <w:spacing w:after="0" w:line="240" w:lineRule="auto"/>
              <w:rPr>
                <w:color w:val="376092" w:themeColor="accent1" w:themeShade="BF"/>
              </w:rPr>
            </w:pPr>
            <w:r>
              <w:rPr>
                <w:color w:val="376092" w:themeColor="accent1" w:themeShade="BF"/>
              </w:rPr>
              <w:t>药学部</w:t>
            </w:r>
          </w:p>
        </w:tc>
        <w:tc>
          <w:tcPr>
            <w:tcW w:w="1728" w:type="dxa"/>
          </w:tcPr>
          <w:p w14:paraId="797F1161">
            <w:pPr>
              <w:spacing w:after="0" w:line="240" w:lineRule="auto"/>
              <w:rPr>
                <w:color w:val="376092" w:themeColor="accent1" w:themeShade="BF"/>
              </w:rPr>
            </w:pPr>
            <w:r>
              <w:rPr>
                <w:color w:val="376092" w:themeColor="accent1" w:themeShade="BF"/>
              </w:rPr>
              <w:t>药事会审议通过</w:t>
            </w:r>
          </w:p>
        </w:tc>
      </w:tr>
      <w:tr w14:paraId="0186406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Pr>
          <w:p w14:paraId="52A9AAE7">
            <w:pPr>
              <w:spacing w:after="0" w:line="240" w:lineRule="auto"/>
              <w:rPr>
                <w:color w:val="376092" w:themeColor="accent1" w:themeShade="BF"/>
              </w:rPr>
            </w:pPr>
            <w:r>
              <w:rPr>
                <w:color w:val="376092" w:themeColor="accent1" w:themeShade="BF"/>
              </w:rPr>
              <w:t>V2.0</w:t>
            </w:r>
          </w:p>
        </w:tc>
        <w:tc>
          <w:tcPr>
            <w:tcW w:w="1728" w:type="dxa"/>
          </w:tcPr>
          <w:p w14:paraId="08A5CAE6">
            <w:pPr>
              <w:spacing w:after="0" w:line="240" w:lineRule="auto"/>
              <w:rPr>
                <w:color w:val="376092" w:themeColor="accent1" w:themeShade="BF"/>
              </w:rPr>
            </w:pPr>
            <w:r>
              <w:rPr>
                <w:color w:val="376092" w:themeColor="accent1" w:themeShade="BF"/>
              </w:rPr>
              <w:t>（待定）</w:t>
            </w:r>
          </w:p>
        </w:tc>
        <w:tc>
          <w:tcPr>
            <w:tcW w:w="1728" w:type="dxa"/>
          </w:tcPr>
          <w:p w14:paraId="44101280">
            <w:pPr>
              <w:spacing w:after="0" w:line="240" w:lineRule="auto"/>
              <w:rPr>
                <w:color w:val="376092" w:themeColor="accent1" w:themeShade="BF"/>
              </w:rPr>
            </w:pPr>
            <w:r>
              <w:rPr>
                <w:color w:val="376092" w:themeColor="accent1" w:themeShade="BF"/>
              </w:rPr>
              <w:t>根据首批目录评审结果更新</w:t>
            </w:r>
          </w:p>
        </w:tc>
        <w:tc>
          <w:tcPr>
            <w:tcW w:w="1728" w:type="dxa"/>
          </w:tcPr>
          <w:p w14:paraId="7ADED9E9">
            <w:pPr>
              <w:spacing w:after="0" w:line="240" w:lineRule="auto"/>
              <w:rPr>
                <w:color w:val="376092" w:themeColor="accent1" w:themeShade="BF"/>
              </w:rPr>
            </w:pPr>
            <w:r>
              <w:rPr>
                <w:color w:val="376092" w:themeColor="accent1" w:themeShade="BF"/>
              </w:rPr>
              <w:t>药学部</w:t>
            </w:r>
          </w:p>
        </w:tc>
        <w:tc>
          <w:tcPr>
            <w:tcW w:w="1728" w:type="dxa"/>
          </w:tcPr>
          <w:p w14:paraId="4340258D">
            <w:pPr>
              <w:spacing w:after="0" w:line="240" w:lineRule="auto"/>
              <w:rPr>
                <w:color w:val="376092" w:themeColor="accent1" w:themeShade="BF"/>
              </w:rPr>
            </w:pPr>
            <w:r>
              <w:rPr>
                <w:color w:val="376092" w:themeColor="accent1" w:themeShade="BF"/>
              </w:rPr>
              <w:t>药事会</w:t>
            </w:r>
          </w:p>
        </w:tc>
      </w:tr>
      <w:tr w14:paraId="7ADFF97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Pr>
          <w:p w14:paraId="46138BC2">
            <w:pPr>
              <w:spacing w:after="0" w:line="240" w:lineRule="auto"/>
              <w:rPr>
                <w:color w:val="376092" w:themeColor="accent1" w:themeShade="BF"/>
              </w:rPr>
            </w:pPr>
          </w:p>
        </w:tc>
        <w:tc>
          <w:tcPr>
            <w:tcW w:w="1728" w:type="dxa"/>
          </w:tcPr>
          <w:p w14:paraId="787FD017">
            <w:pPr>
              <w:spacing w:after="0" w:line="240" w:lineRule="auto"/>
              <w:rPr>
                <w:color w:val="376092" w:themeColor="accent1" w:themeShade="BF"/>
              </w:rPr>
            </w:pPr>
          </w:p>
        </w:tc>
        <w:tc>
          <w:tcPr>
            <w:tcW w:w="1728" w:type="dxa"/>
          </w:tcPr>
          <w:p w14:paraId="415C3996">
            <w:pPr>
              <w:spacing w:after="0" w:line="240" w:lineRule="auto"/>
              <w:rPr>
                <w:color w:val="376092" w:themeColor="accent1" w:themeShade="BF"/>
              </w:rPr>
            </w:pPr>
          </w:p>
        </w:tc>
        <w:tc>
          <w:tcPr>
            <w:tcW w:w="1728" w:type="dxa"/>
          </w:tcPr>
          <w:p w14:paraId="7EDB4D7E">
            <w:pPr>
              <w:spacing w:after="0" w:line="240" w:lineRule="auto"/>
              <w:rPr>
                <w:color w:val="376092" w:themeColor="accent1" w:themeShade="BF"/>
              </w:rPr>
            </w:pPr>
          </w:p>
        </w:tc>
        <w:tc>
          <w:tcPr>
            <w:tcW w:w="1728" w:type="dxa"/>
          </w:tcPr>
          <w:p w14:paraId="2EFE301C">
            <w:pPr>
              <w:spacing w:after="0" w:line="240" w:lineRule="auto"/>
              <w:rPr>
                <w:color w:val="376092" w:themeColor="accent1" w:themeShade="BF"/>
              </w:rPr>
            </w:pPr>
          </w:p>
        </w:tc>
      </w:tr>
      <w:tr w14:paraId="600BD72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Pr>
          <w:p w14:paraId="3FA13303">
            <w:pPr>
              <w:spacing w:after="0" w:line="240" w:lineRule="auto"/>
              <w:rPr>
                <w:color w:val="376092" w:themeColor="accent1" w:themeShade="BF"/>
              </w:rPr>
            </w:pPr>
          </w:p>
        </w:tc>
        <w:tc>
          <w:tcPr>
            <w:tcW w:w="1728" w:type="dxa"/>
          </w:tcPr>
          <w:p w14:paraId="34662166">
            <w:pPr>
              <w:spacing w:after="0" w:line="240" w:lineRule="auto"/>
              <w:rPr>
                <w:color w:val="376092" w:themeColor="accent1" w:themeShade="BF"/>
              </w:rPr>
            </w:pPr>
          </w:p>
        </w:tc>
        <w:tc>
          <w:tcPr>
            <w:tcW w:w="1728" w:type="dxa"/>
          </w:tcPr>
          <w:p w14:paraId="6DB7738C">
            <w:pPr>
              <w:spacing w:after="0" w:line="240" w:lineRule="auto"/>
              <w:rPr>
                <w:color w:val="376092" w:themeColor="accent1" w:themeShade="BF"/>
              </w:rPr>
            </w:pPr>
          </w:p>
        </w:tc>
        <w:tc>
          <w:tcPr>
            <w:tcW w:w="1728" w:type="dxa"/>
          </w:tcPr>
          <w:p w14:paraId="6CFF9F9B">
            <w:pPr>
              <w:spacing w:after="0" w:line="240" w:lineRule="auto"/>
              <w:rPr>
                <w:color w:val="376092" w:themeColor="accent1" w:themeShade="BF"/>
              </w:rPr>
            </w:pPr>
          </w:p>
        </w:tc>
        <w:tc>
          <w:tcPr>
            <w:tcW w:w="1728" w:type="dxa"/>
          </w:tcPr>
          <w:p w14:paraId="0AC7B797">
            <w:pPr>
              <w:spacing w:after="0" w:line="240" w:lineRule="auto"/>
              <w:rPr>
                <w:color w:val="376092" w:themeColor="accent1" w:themeShade="BF"/>
              </w:rPr>
            </w:pPr>
          </w:p>
        </w:tc>
      </w:tr>
    </w:tbl>
    <w:p w14:paraId="09AC7091"/>
    <w:p w14:paraId="4E7485FF">
      <w:r>
        <w:t>**正式审批信息**：</w:t>
      </w:r>
    </w:p>
    <w:p w14:paraId="49FF8C2F">
      <w:r>
        <w:t>本制度及配套文件经江苏省人民医院雨花院区药事管理与药物治疗学委员会第一次全体会议审议通过。</w:t>
      </w:r>
    </w:p>
    <w:p w14:paraId="39465D68">
      <w:r>
        <w:t>会议时间：2026年6月__日</w:t>
      </w:r>
    </w:p>
    <w:p w14:paraId="53BF7A2F">
      <w:r>
        <w:t>参会委员：______人（应到__人，实到__人）</w:t>
      </w:r>
    </w:p>
    <w:p w14:paraId="067D41B5">
      <w:r>
        <w:t>表决结果：同意__票，反对__票，弃权__票</w:t>
      </w:r>
    </w:p>
    <w:p w14:paraId="77C33940">
      <w:r>
        <w:t>药事会主任委员签字：________________</w:t>
      </w:r>
    </w:p>
    <w:p w14:paraId="710A9F8A">
      <w:r>
        <w:t>医院盖章：________________</w:t>
      </w:r>
    </w:p>
    <w:sectPr>
      <w:footerReference r:id="rId5" w:type="default"/>
      <w:pgSz w:w="12240" w:h="15840"/>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C127D">
    <w:pPr>
      <w:pStyle w:val="24"/>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1BDF116">
                          <w:pPr>
                            <w:pStyle w:val="2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51BDF116">
                    <w:pPr>
                      <w:pStyle w:val="2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02C39C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5928</Words>
  <Characters>6187</Characters>
  <Lines>0</Lines>
  <Paragraphs>0</Paragraphs>
  <TotalTime>11</TotalTime>
  <ScaleCrop>false</ScaleCrop>
  <LinksUpToDate>false</LinksUpToDate>
  <CharactersWithSpaces>6356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HUAWEI</cp:lastModifiedBy>
  <dcterms:modified xsi:type="dcterms:W3CDTF">2026-06-10T08:17:05Z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eyJoZGlkIjoiMzEwNTM5NzYwMDRjMzkwZTVkZjY2ODkwMGIxNGU0OTUiLCJ1c2VySWQiOiIzMjE3MDA4NjAifQ==</vt:lpwstr>
  </property>
  <property fmtid="{D5CDD505-2E9C-101B-9397-08002B2CF9AE}" pid="3" name="KSOProductBuildVer">
    <vt:lpwstr>2052-12.1.0.26895</vt:lpwstr>
  </property>
  <property fmtid="{D5CDD505-2E9C-101B-9397-08002B2CF9AE}" pid="4" name="ICV">
    <vt:lpwstr>2A882B8ACEC24EB59F938F0D4FBF4CF2_12</vt:lpwstr>
  </property>
</Properties>
</file>