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b/>
          <w:sz w:val="32"/>
          <w:rFonts w:eastAsia="宋体" w:ascii="Times New Roman" w:hAnsi="Times New Roman"/>
        </w:rPr>
        <w:t>国家社会科学基金项目成果目录</w:t>
      </w:r>
    </w:p>
    <w:p>
      <w:pPr>
        <w:spacing w:before="0" w:after="80" w:line="360" w:lineRule="auto"/>
        <w:jc w:val="center"/>
      </w:pPr>
      <w:r>
        <w:rPr>
          <w:b w:val="0"/>
          <w:sz w:val="24"/>
          <w:rFonts w:eastAsia="宋体" w:ascii="Times New Roman" w:hAnsi="Times New Roman"/>
        </w:rPr>
        <w:t>（公开发表论文·参考文献列表）</w:t>
      </w:r>
    </w:p>
    <w:p>
      <w:pPr>
        <w:spacing w:before="0" w:after="200" w:line="360" w:lineRule="auto"/>
      </w:pPr>
      <w:r>
        <w:rPr>
          <w:b w:val="0"/>
          <w:color w:val="808080"/>
          <w:sz w:val="21"/>
          <w:rFonts w:eastAsia="宋体" w:ascii="Times New Roman" w:hAnsi="Times New Roman"/>
        </w:rPr>
        <w:t>说明：本项目共发表学术论文8篇，其中SSCI收录4篇、CSSCI收录3篇、北大核心1篇；著录格式中文依GB/T 7714，外文依APA。项目正式名称、批准号请依立项通知书填写。</w:t>
      </w:r>
    </w:p>
    <w:p>
      <w:pPr>
        <w:spacing w:before="160" w:after="80" w:line="360" w:lineRule="auto"/>
      </w:pPr>
      <w:r>
        <w:rPr>
          <w:b/>
          <w:sz w:val="25"/>
          <w:rFonts w:eastAsia="宋体" w:ascii="Times New Roman" w:hAnsi="Times New Roman"/>
        </w:rPr>
        <w:t>一、中文期刊论文</w:t>
      </w:r>
    </w:p>
    <w:p>
      <w:pPr>
        <w:spacing w:before="0" w:after="120" w:line="360" w:lineRule="auto"/>
        <w:ind w:left="480" w:hanging="480"/>
      </w:pPr>
      <w:r>
        <w:rPr>
          <w:b/>
          <w:sz w:val="24"/>
          <w:rFonts w:eastAsia="宋体" w:ascii="Times New Roman" w:hAnsi="Times New Roman"/>
        </w:rPr>
        <w:t xml:space="preserve">[1] </w:t>
      </w:r>
      <w:r>
        <w:rPr>
          <w:b w:val="0"/>
          <w:sz w:val="24"/>
          <w:rFonts w:eastAsia="宋体" w:ascii="Times New Roman" w:hAnsi="Times New Roman"/>
        </w:rPr>
        <w:t>张萍. 汉英词汇联想反应分类的共用框架：MMAF的构建及可适性分析[J]. 世界汉语教学, 2026, 40(1): 101–112.（CSSCI）</w:t>
      </w:r>
    </w:p>
    <w:p>
      <w:pPr>
        <w:spacing w:before="0" w:after="120" w:line="360" w:lineRule="auto"/>
        <w:ind w:left="480" w:hanging="480"/>
      </w:pPr>
      <w:r>
        <w:rPr>
          <w:b/>
          <w:sz w:val="24"/>
          <w:rFonts w:eastAsia="宋体" w:ascii="Times New Roman" w:hAnsi="Times New Roman"/>
        </w:rPr>
        <w:t xml:space="preserve">[2] </w:t>
      </w:r>
      <w:r>
        <w:rPr>
          <w:b w:val="0"/>
          <w:sz w:val="24"/>
          <w:rFonts w:eastAsia="宋体" w:ascii="Times New Roman" w:hAnsi="Times New Roman"/>
        </w:rPr>
        <w:t>张萍, 徐雅琛. 语音邻域密度、词性类别、语言水平对二语词汇联想反应的影响[J]. 外语学刊, 2024(1).（CSSCI）</w:t>
      </w:r>
    </w:p>
    <w:p>
      <w:pPr>
        <w:spacing w:before="0" w:after="120" w:line="360" w:lineRule="auto"/>
        <w:ind w:left="480" w:hanging="480"/>
      </w:pPr>
      <w:r>
        <w:rPr>
          <w:b/>
          <w:sz w:val="24"/>
          <w:rFonts w:eastAsia="宋体" w:ascii="Times New Roman" w:hAnsi="Times New Roman"/>
        </w:rPr>
        <w:t xml:space="preserve">[3] </w:t>
      </w:r>
      <w:r>
        <w:rPr>
          <w:b w:val="0"/>
          <w:sz w:val="24"/>
          <w:rFonts w:eastAsia="宋体" w:ascii="Times New Roman" w:hAnsi="Times New Roman"/>
        </w:rPr>
        <w:t>张萍, 马宇晗. 中国英语学习者词汇联想组织模式及网络结构的历时对比研究[J]. 外语教学理论与实践, 2024(3).（CSSCI）</w:t>
      </w:r>
    </w:p>
    <w:p>
      <w:pPr>
        <w:spacing w:before="0" w:after="120" w:line="360" w:lineRule="auto"/>
        <w:ind w:left="480" w:hanging="480"/>
      </w:pPr>
      <w:r>
        <w:rPr>
          <w:b/>
          <w:sz w:val="24"/>
          <w:rFonts w:eastAsia="宋体" w:ascii="Times New Roman" w:hAnsi="Times New Roman"/>
        </w:rPr>
        <w:t xml:space="preserve">[4] </w:t>
      </w:r>
      <w:r>
        <w:rPr>
          <w:b w:val="0"/>
          <w:sz w:val="24"/>
          <w:rFonts w:eastAsia="宋体" w:ascii="Times New Roman" w:hAnsi="Times New Roman"/>
        </w:rPr>
        <w:t>黄旭, 张萍. 我国中老年汉英双语者词汇联想反应类型比较研究[J]. 外国语言文学, 2025(6): 3–13.（北大核心）</w:t>
      </w:r>
    </w:p>
    <w:p>
      <w:pPr>
        <w:spacing w:before="160" w:after="80" w:line="360" w:lineRule="auto"/>
      </w:pPr>
      <w:r>
        <w:rPr>
          <w:b/>
          <w:sz w:val="25"/>
          <w:rFonts w:eastAsia="宋体" w:ascii="Times New Roman" w:hAnsi="Times New Roman"/>
        </w:rPr>
        <w:t>二、外文期刊论文</w:t>
      </w:r>
    </w:p>
    <w:p>
      <w:pPr>
        <w:spacing w:before="0" w:after="120" w:line="360" w:lineRule="auto"/>
        <w:ind w:left="480" w:hanging="480"/>
      </w:pPr>
      <w:r>
        <w:rPr>
          <w:b/>
          <w:sz w:val="24"/>
          <w:rFonts w:eastAsia="宋体" w:ascii="Times New Roman" w:hAnsi="Times New Roman"/>
        </w:rPr>
        <w:t xml:space="preserve">[5] </w:t>
      </w:r>
      <w:r>
        <w:rPr>
          <w:b w:val="0"/>
          <w:sz w:val="24"/>
          <w:rFonts w:eastAsia="宋体" w:ascii="Times New Roman" w:hAnsi="Times New Roman"/>
        </w:rPr>
        <w:t>Wang, X., &amp; Zhang, P. (2024). ‘Did I repeat so many English words?’: Stability of L1 and L2 word association responses over time and across response positions. Lingua, 310, 103804.（SSCI）</w:t>
      </w:r>
    </w:p>
    <w:p>
      <w:pPr>
        <w:spacing w:before="0" w:after="120" w:line="360" w:lineRule="auto"/>
        <w:ind w:left="480" w:hanging="480"/>
      </w:pPr>
      <w:r>
        <w:rPr>
          <w:b/>
          <w:sz w:val="24"/>
          <w:rFonts w:eastAsia="宋体" w:ascii="Times New Roman" w:hAnsi="Times New Roman"/>
        </w:rPr>
        <w:t xml:space="preserve">[6] </w:t>
      </w:r>
      <w:r>
        <w:rPr>
          <w:b w:val="0"/>
          <w:sz w:val="24"/>
          <w:rFonts w:eastAsia="宋体" w:ascii="Times New Roman" w:hAnsi="Times New Roman"/>
        </w:rPr>
        <w:t>Yu, J., Wang, S., Zhang, P., &amp; Chen, T. (2025). The processing of familiar English L2 phrasal verbs in neutral and biased sentence contexts. Frontiers in Psychology, 16, 1528821.（SSCI）</w:t>
      </w:r>
    </w:p>
    <w:p>
      <w:pPr>
        <w:spacing w:before="0" w:after="120" w:line="360" w:lineRule="auto"/>
        <w:ind w:left="480" w:hanging="480"/>
      </w:pPr>
      <w:r>
        <w:rPr>
          <w:b/>
          <w:sz w:val="24"/>
          <w:rFonts w:eastAsia="宋体" w:ascii="Times New Roman" w:hAnsi="Times New Roman"/>
        </w:rPr>
        <w:t xml:space="preserve">[7] </w:t>
      </w:r>
      <w:r>
        <w:rPr>
          <w:b w:val="0"/>
          <w:sz w:val="24"/>
          <w:rFonts w:eastAsia="宋体" w:ascii="Times New Roman" w:hAnsi="Times New Roman"/>
        </w:rPr>
        <w:t>Zhang, P., &amp; Wang, X. (2026). Investigating the bilingual aging lexicon: A network analysis of word associations in Chinese–English bilinguals. Cognitive Science, 50, e70205.（SSCI）</w:t>
      </w:r>
    </w:p>
    <w:p>
      <w:pPr>
        <w:spacing w:before="0" w:after="120" w:line="360" w:lineRule="auto"/>
        <w:ind w:left="480" w:hanging="480"/>
      </w:pPr>
      <w:r>
        <w:rPr>
          <w:b/>
          <w:sz w:val="24"/>
          <w:rFonts w:eastAsia="宋体" w:ascii="Times New Roman" w:hAnsi="Times New Roman"/>
        </w:rPr>
        <w:t xml:space="preserve">[8] </w:t>
      </w:r>
      <w:r>
        <w:rPr>
          <w:b w:val="0"/>
          <w:sz w:val="24"/>
          <w:rFonts w:eastAsia="宋体" w:ascii="Times New Roman" w:hAnsi="Times New Roman"/>
        </w:rPr>
        <w:t>Zhang, P., &amp; Wang, X. (2026). Lexical development in bilingual adolescents: A study of Chinese–English word association networks. Journal of Child Language. Advance online publication. https://doi.org/10.1017/S0305000926100695（SSCI）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