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固定策略测试数据结果文档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—— B 同学分工：固定策略回测结果汇总</w:t>
      </w:r>
    </w:p>
    <w:p>
      <w:pPr/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测试日期: 2026-05-12 | 数据期间: 2023-07-01 ~ 2025-12-31 | 测试集: 2025-07-01 ~ 2025-12-31</w:t>
      </w:r>
    </w:p>
    <w:p>
      <w:pPr>
        <w:pStyle w:val="Heading1"/>
      </w:pPr>
      <w:r>
        <w:t>BTC/USDT — 买入持有 -18.37% (大牛→熊市 (测试期下跌 18.4%))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累计收益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最大回撤</w:t>
            </w:r>
          </w:p>
        </w:tc>
        <w:tc>
          <w:tcPr>
            <w:tcW w:type="dxa" w:w="90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胜率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交易数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盈亏比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vs B&amp;H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最优参数</w:t>
            </w:r>
          </w:p>
        </w:tc>
      </w:tr>
      <w:tr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**MA_Cross** ★ BEST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**+9.23%**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**-4.54%**</w:t>
            </w:r>
          </w:p>
        </w:tc>
        <w:tc>
          <w:tcPr>
            <w:tcW w:type="dxa" w:w="90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**+0.172**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**57.69%**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**26**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**1.50**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**+27.60%**</w:t>
            </w:r>
          </w:p>
        </w:tc>
        <w:tc>
          <w:tcPr>
            <w:tcW w:type="dxa" w:w="311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fast=20, slow=200, tp=3%, sl=9%, tl=48h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Bollinger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+1.83%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-25.03%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+0.022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54.65%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1.06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+20.20%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len=20, std=1.5, lo=0.15, sh=1.0, tp=6%, sl=6%, tl=48h</w:t>
            </w:r>
          </w:p>
        </w:tc>
      </w:tr>
      <w:tr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MACD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-1.73%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-24.88%</w:t>
            </w:r>
          </w:p>
        </w:tc>
        <w:tc>
          <w:tcPr>
            <w:tcW w:type="dxa" w:w="90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+0.002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48.39%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186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1.01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+16.65%</w:t>
            </w:r>
          </w:p>
        </w:tc>
        <w:tc>
          <w:tcPr>
            <w:tcW w:type="dxa" w:w="311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fast=12, slow=26, sig=9, tp=4%, sl=4%, tl=12h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RSI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-33.78%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-42.94%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-0.162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43.48%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-15.41%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per=7, os=30, ob=80, tp=6%, sl=2%, tl=24h</w:t>
            </w:r>
          </w:p>
        </w:tc>
      </w:tr>
    </w:tbl>
    <w:p>
      <w:pPr/>
    </w:p>
    <w:p>
      <w:pPr>
        <w:pStyle w:val="Heading1"/>
      </w:pPr>
      <w:r>
        <w:t>ETH/USDT — 买入持有 +19.18% (震荡→慢牛 (测试期上涨 19.2%))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累计收益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最大回撤</w:t>
            </w:r>
          </w:p>
        </w:tc>
        <w:tc>
          <w:tcPr>
            <w:tcW w:type="dxa" w:w="90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胜率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交易数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盈亏比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vs B&amp;H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最优参数</w:t>
            </w:r>
          </w:p>
        </w:tc>
      </w:tr>
      <w:tr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**MA_Cross** ★ BEST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**-3.22%**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**-18.62%**</w:t>
            </w:r>
          </w:p>
        </w:tc>
        <w:tc>
          <w:tcPr>
            <w:tcW w:type="dxa" w:w="90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**-0.003**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**45.65%**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**46**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**0.99**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**-22.40%**</w:t>
            </w:r>
          </w:p>
        </w:tc>
        <w:tc>
          <w:tcPr>
            <w:tcW w:type="dxa" w:w="311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fast=10, slow=100, tp=6%, sl=3%, tl=48h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RSI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-8.57%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-48.55%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48.37%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-27.75%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per=7, os=30, ob=75, tp=6%, sl=4%, tl=24h</w:t>
            </w:r>
          </w:p>
        </w:tc>
      </w:tr>
      <w:tr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MACD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-15.70%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-24.37%</w:t>
            </w:r>
          </w:p>
        </w:tc>
        <w:tc>
          <w:tcPr>
            <w:tcW w:type="dxa" w:w="90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-0.027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51.04%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96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0.94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-34.88%</w:t>
            </w:r>
          </w:p>
        </w:tc>
        <w:tc>
          <w:tcPr>
            <w:tcW w:type="dxa" w:w="311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fast=21, slow=26, sig=5, tp=4%, sl=6%, tl=48h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Bollinger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-19.99%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-45.26%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-0.028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55.56%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0.93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-39.17%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len=20, std=2.5, lo=0.15, sh=0.85, tp=4%, sl=6%, tl=24h</w:t>
            </w:r>
          </w:p>
        </w:tc>
      </w:tr>
    </w:tbl>
    <w:p>
      <w:pPr/>
    </w:p>
    <w:p>
      <w:pPr>
        <w:pStyle w:val="Heading1"/>
      </w:pPr>
      <w:r>
        <w:t>SOL/USDT — 买入持有 -19.46% (狂暴牛→熊市 (测试期下跌 19.5%))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累计收益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最大回撤</w:t>
            </w:r>
          </w:p>
        </w:tc>
        <w:tc>
          <w:tcPr>
            <w:tcW w:type="dxa" w:w="90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胜率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交易数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盈亏比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vs B&amp;H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最优参数</w:t>
            </w:r>
          </w:p>
        </w:tc>
      </w:tr>
      <w:tr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**Bollinger** ★ BEST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**+16.64%**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**-31.55%**</w:t>
            </w:r>
          </w:p>
        </w:tc>
        <w:tc>
          <w:tcPr>
            <w:tcW w:type="dxa" w:w="90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**+0.059**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**55.56%**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**90**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**1.14**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**+36.10%**</w:t>
            </w:r>
          </w:p>
        </w:tc>
        <w:tc>
          <w:tcPr>
            <w:tcW w:type="dxa" w:w="311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len=20, std=2.5, lo=0.15, sh=1.0, tp=6%, sl=6%, tl=48h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RSI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-8.14%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-8.14%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-0.935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16.67%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+11.32%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per=21, os=20, ob=80, tp=2%, sl=2%, tl=48h</w:t>
            </w:r>
          </w:p>
        </w:tc>
      </w:tr>
      <w:tr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MA_Cross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-17.77%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-26.96%</w:t>
            </w:r>
          </w:p>
        </w:tc>
        <w:tc>
          <w:tcPr>
            <w:tcW w:type="dxa" w:w="90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-0.143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44.74%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0.73</w:t>
            </w:r>
          </w:p>
        </w:tc>
        <w:tc>
          <w:tcPr>
            <w:tcW w:type="dxa" w:w="102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+1.69%</w:t>
            </w:r>
          </w:p>
        </w:tc>
        <w:tc>
          <w:tcPr>
            <w:tcW w:type="dxa" w:w="311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fast=10, slow=200, tp=3%, sl=6%, tl=24h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MACD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-55.85%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-59.66%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-0.211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23.44%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-36.39%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fast=21, slow=42, sig=9, tp=6%, sl=2%, tl=48h</w:t>
            </w:r>
          </w:p>
        </w:tc>
      </w:tr>
    </w:tbl>
    <w:p>
      <w:pPr/>
    </w:p>
    <w:p>
      <w:pPr>
        <w:pStyle w:val="Heading1"/>
      </w:pPr>
      <w:r>
        <w:t>跨币种汇总</w:t>
      </w:r>
    </w:p>
    <w:p>
      <w:pPr>
        <w:pStyle w:val="Heading2"/>
      </w:pPr>
      <w:r>
        <w:t>各策略平均表现（跨 BTC、ETH、SOL 均值）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平均收益率</w:t>
            </w:r>
          </w:p>
        </w:tc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平均最大回撤</w:t>
            </w:r>
          </w:p>
        </w:tc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 Sharpe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平均胜率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平均交易次数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平均盈亏比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盈利币种数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**Bollinger**</w:t>
            </w:r>
          </w:p>
        </w:tc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**-0.51%**</w:t>
            </w:r>
          </w:p>
        </w:tc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**-33.95%**</w:t>
            </w:r>
          </w:p>
        </w:tc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**+0.018**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**55.25%**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110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**1.04**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**2/3**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MA_Cross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-3.92%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-16.71%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49.36%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1.07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1/3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RSI</w:t>
            </w:r>
          </w:p>
        </w:tc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-16.83%</w:t>
            </w:r>
          </w:p>
        </w:tc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-33.21%</w:t>
            </w:r>
          </w:p>
        </w:tc>
        <w:tc>
          <w:tcPr>
            <w:tcW w:type="dxa" w:w="124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-0.366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36.17%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99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0.62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0/3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MACD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-24.43%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-36.31%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40.96%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0/3</w:t>
            </w:r>
          </w:p>
        </w:tc>
      </w:tr>
    </w:tbl>
    <w:p>
      <w:pPr/>
    </w:p>
    <w:p>
      <w:pPr>
        <w:pStyle w:val="Heading1"/>
      </w:pPr>
      <w:r>
        <w:t>出场原因分析</w:t>
      </w:r>
    </w:p>
    <w:p>
      <w:pPr/>
      <w:r>
        <w:rPr>
          <w:rFonts w:ascii="微软雅黑" w:hAnsi="微软雅黑" w:eastAsia="微软雅黑"/>
          <w:b w:val="0"/>
          <w:sz w:val="21"/>
        </w:rPr>
        <w:t>下表统计了各策略在三个币种测试集上所有交易的出场原因分布，有助于理解策略的行为模式。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TP 出场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SL 出场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TL 出场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总交易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主要特征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Bollinger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131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210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382</w:t>
            </w:r>
          </w:p>
        </w:tc>
        <w:tc>
          <w:tcPr>
            <w:tcW w:type="dxa" w:w="3969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SL 频繁触发 (34%)，止损压力大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MA_Cross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133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大部分 TL 出场，较少被止损 (13%)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57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57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136</w:t>
            </w:r>
          </w:p>
        </w:tc>
        <w:tc>
          <w:tcPr>
            <w:tcW w:type="dxa" w:w="3969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SL 占比最高 (42%)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550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TL 出场占绝大多数 (71%)，TP/SL 难触及</w:t>
            </w:r>
          </w:p>
        </w:tc>
      </w:tr>
    </w:tbl>
    <w:p>
      <w:pPr/>
    </w:p>
    <w:p>
      <w:pPr>
        <w:pStyle w:val="Heading1"/>
      </w:pPr>
      <w:r>
        <w:t>vs 买入持有对比</w:t>
      </w:r>
    </w:p>
    <w:p>
      <w:pPr/>
      <w:r>
        <w:rPr>
          <w:rFonts w:ascii="微软雅黑" w:hAnsi="微软雅黑" w:eastAsia="微软雅黑"/>
          <w:b w:val="0"/>
          <w:sz w:val="21"/>
        </w:rPr>
        <w:t>下表展示各策略相对买入持有策略的超额收益。正值表示跑赢买入持有。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BTC (B&amp;H -18.4%)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ETH (B&amp;H +19.2%)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SOL (B&amp;H -19.5%)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超额均值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Bollinger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+20.20%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-39.17%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+36.10%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+5.71%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MA_Cross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+27.60%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-22.40%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+1.69%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+2.30%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RSI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-15.41%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-27.75%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+11.32%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-10.61%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MACD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+16.65%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-34.88%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-36.39%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-18.21%</w:t>
            </w:r>
          </w:p>
        </w:tc>
      </w:tr>
    </w:tbl>
    <w:p>
      <w:pPr/>
    </w:p>
    <w:p>
      <w:pPr/>
      <w:r>
        <w:rPr>
          <w:rFonts w:ascii="微软雅黑" w:hAnsi="微软雅黑" w:eastAsia="微软雅黑"/>
          <w:b w:val="0"/>
          <w:sz w:val="18"/>
        </w:rPr>
        <w:t>规律显著：在熊市（BTC、SOL）中，所有策略均跑赢买入持有（降低亏损）；在牛市（ETH）中，所有策略均跑输买入持有。这体现了固定策略的双面性——通过止损机制降低熊市亏损，但也导致牛市中过早离场、错失涨幅。</w:t>
      </w:r>
    </w:p>
    <w:p>
      <w:pPr>
        <w:pStyle w:val="Heading1"/>
      </w:pPr>
      <w:r>
        <w:t>最优参数汇总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交易对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指标参数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</w:p>
        </w:tc>
        <w:tc>
          <w:tcPr>
            <w:tcW w:type="dxa" w:w="158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止盈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止损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持仓上限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BTC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Bollinger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len=20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std=1.5</w:t>
            </w:r>
          </w:p>
        </w:tc>
        <w:tc>
          <w:tcPr>
            <w:tcW w:type="dxa" w:w="158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lo=0.15, sh=1.0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48h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BTC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**MA_Cross**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fast=20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slow=200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48h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BTC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per=7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os=30, ob=80</w:t>
            </w:r>
          </w:p>
        </w:tc>
        <w:tc>
          <w:tcPr>
            <w:tcW w:type="dxa" w:w="158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2%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24h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BTC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fast=12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slow=26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sig=9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12h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ETH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Bollinger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len=20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std=2.5</w:t>
            </w:r>
          </w:p>
        </w:tc>
        <w:tc>
          <w:tcPr>
            <w:tcW w:type="dxa" w:w="158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lo=0.15, sh=0.85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4%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24h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**MA_Cross**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fast=10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slow=100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48h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ETH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per=7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os=30, ob=75</w:t>
            </w:r>
          </w:p>
        </w:tc>
        <w:tc>
          <w:tcPr>
            <w:tcW w:type="dxa" w:w="158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4%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24h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fast=21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slow=26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sig=5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48h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SOL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**Bollinger**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len=20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std=2.5</w:t>
            </w:r>
          </w:p>
        </w:tc>
        <w:tc>
          <w:tcPr>
            <w:tcW w:type="dxa" w:w="158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lo=0.15, sh=1.0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48h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SOL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MA_Cross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fast=10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slow=200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24h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SOL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per=21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os=20, ob=80</w:t>
            </w:r>
          </w:p>
        </w:tc>
        <w:tc>
          <w:tcPr>
            <w:tcW w:type="dxa" w:w="158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2%</w:t>
            </w:r>
          </w:p>
        </w:tc>
        <w:tc>
          <w:tcPr>
            <w:tcW w:type="dxa" w:w="68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2%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48h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SOL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fast=21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slow=42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sig=9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48h</w:t>
            </w:r>
          </w:p>
        </w:tc>
      </w:tr>
    </w:tbl>
    <w:p>
      <w:pPr/>
    </w:p>
    <w:p>
      <w:pPr>
        <w:pStyle w:val="Heading1"/>
      </w:pPr>
      <w:r>
        <w:t>实验结论</w:t>
      </w:r>
    </w:p>
    <w:p>
      <w:pPr/>
      <w:r>
        <w:rPr>
          <w:rFonts w:ascii="微软雅黑" w:hAnsi="微软雅黑" w:eastAsia="微软雅黑"/>
          <w:b/>
          <w:sz w:val="21"/>
        </w:rPr>
        <w:t>1. 无策略在所有币种上持续盈利</w:t>
      </w:r>
    </w:p>
    <w:p>
      <w:pPr/>
      <w:r>
        <w:rPr>
          <w:rFonts w:ascii="微软雅黑" w:hAnsi="微软雅黑" w:eastAsia="微软雅黑"/>
          <w:b w:val="0"/>
          <w:sz w:val="21"/>
        </w:rPr>
        <w:t>Bollinger 综合表现最优（平均收益 -0.51%，平均胜率 55.25%），在 2/3 币种上盈利。但没有任何固定策略能同时应对三种不同的市场环境。</w:t>
      </w:r>
    </w:p>
    <w:p>
      <w:pPr/>
      <w:r>
        <w:rPr>
          <w:rFonts w:ascii="微软雅黑" w:hAnsi="微软雅黑" w:eastAsia="微软雅黑"/>
          <w:b/>
          <w:sz w:val="21"/>
        </w:rPr>
        <w:t>2. 策略表现高度依赖币种和市场状态</w:t>
      </w:r>
    </w:p>
    <w:p>
      <w:pPr/>
      <w:r>
        <w:rPr>
          <w:rFonts w:ascii="微软雅黑" w:hAnsi="微软雅黑" w:eastAsia="微软雅黑"/>
          <w:b w:val="0"/>
          <w:sz w:val="21"/>
        </w:rPr>
        <w:t>MA_Cross 在 BTC 上表现最佳（+9.23%，跑赢买入持有 27.6 个百分点），Bollinger 在 SOL 上表现最佳（+16.64%，跑赢买入持有 36.1 个百分点），但在 ETH 上所有策略均亏损。牛市训练的 MACD 参数在 SOL 熊市中亏损高达 -55.85%。</w:t>
      </w:r>
    </w:p>
    <w:p>
      <w:pPr/>
      <w:r>
        <w:rPr>
          <w:rFonts w:ascii="微软雅黑" w:hAnsi="微软雅黑" w:eastAsia="微软雅黑"/>
          <w:b/>
          <w:sz w:val="21"/>
        </w:rPr>
        <w:t>3. 牛市参数无法泛化到熊市</w:t>
      </w:r>
    </w:p>
    <w:p>
      <w:pPr/>
      <w:r>
        <w:rPr>
          <w:rFonts w:ascii="微软雅黑" w:hAnsi="微软雅黑" w:eastAsia="微软雅黑"/>
          <w:b w:val="0"/>
          <w:sz w:val="21"/>
        </w:rPr>
        <w:t>训练期 BTC 涨幅 252%、SOL 涨幅 727%，完整两年训练数据上网格搜索出的最优参数，在测试期的熊市环境中普遍失效。市场环境根本性转变带来的泛化问题是固定策略的致命弱点。</w:t>
      </w:r>
    </w:p>
    <w:p>
      <w:pPr/>
      <w:r>
        <w:rPr>
          <w:rFonts w:ascii="微软雅黑" w:hAnsi="微软雅黑" w:eastAsia="微软雅黑"/>
          <w:b/>
          <w:sz w:val="21"/>
        </w:rPr>
        <w:t>4. 止损参数对表现影响巨大</w:t>
      </w:r>
    </w:p>
    <w:p>
      <w:pPr/>
      <w:r>
        <w:rPr>
          <w:rFonts w:ascii="微软雅黑" w:hAnsi="微软雅黑" w:eastAsia="微软雅黑"/>
          <w:b w:val="0"/>
          <w:sz w:val="21"/>
        </w:rPr>
        <w:t>SOL MACD 使用 sl=2%（紧止损）导致 98 次 SL 出场、仅 16 次 TP 出场，亏损 55.85%。相比之下，SOL Bollinger 使用 sl=6%（宽松止损），TP 出场 29 次，盈利 16.64%。</w:t>
      </w:r>
    </w:p>
    <w:p>
      <w:pPr/>
      <w:r>
        <w:rPr>
          <w:rFonts w:ascii="微软雅黑" w:hAnsi="微软雅黑" w:eastAsia="微软雅黑"/>
          <w:b/>
          <w:sz w:val="21"/>
        </w:rPr>
        <w:t>5. 为 Agent 切换方案提供了有力支撑</w:t>
      </w:r>
    </w:p>
    <w:p>
      <w:pPr/>
      <w:r>
        <w:rPr>
          <w:rFonts w:ascii="微软雅黑" w:hAnsi="微软雅黑" w:eastAsia="微软雅黑"/>
          <w:b w:val="0"/>
          <w:sz w:val="21"/>
        </w:rPr>
        <w:t>SOL 从训练期的 +727% 转为测试期的 -19%，极端市场切换下 MACD 亏损 55.85%、MA_Cross 亏损 17.77%、RSI 仅 6 笔交易且亏损 8.14%。唯有 Bollinger 盈利 16.64%。这从反面证明了 Agent 动态切换策略的必要性：如果能根据市场状态自动选择策略，就能在不同环境下采用不同的应对方案。</w:t>
      </w:r>
    </w:p>
    <w:p>
      <w:pPr/>
      <w:r>
        <w:rPr>
          <w:rFonts w:ascii="微软雅黑" w:hAnsi="微软雅黑" w:eastAsia="微软雅黑"/>
          <w:b/>
          <w:sz w:val="21"/>
        </w:rPr>
        <w:t>6. 对 Agent 策略池配置的启示</w:t>
      </w:r>
    </w:p>
    <w:p>
      <w:pPr/>
      <w:r>
        <w:rPr>
          <w:rFonts w:ascii="微软雅黑" w:hAnsi="微软雅黑" w:eastAsia="微软雅黑"/>
          <w:b w:val="0"/>
          <w:sz w:val="21"/>
        </w:rPr>
        <w:t>• Bollinger（综合最优，在 2/3 币种上盈利）适合作为策略池的核心策略</w:t>
        <w:br/>
        <w:t>• MA_Cross（交易数少、盈利稳健）适合作为 BTC 方向的保守策略</w:t>
        <w:br/>
        <w:t>• MACD 需要根据波动率动态调整止损，紧止损在极端市场下极其致命</w:t>
        <w:br/>
        <w:t>• RSI 的的超买超卖阈值需要根据币种特性调整，不宜使用统一设定</w:t>
      </w:r>
    </w:p>
    <w:p>
      <w:pPr>
        <w:pStyle w:val="Heading1"/>
      </w:pPr>
      <w:r>
        <w:t>局限性说明</w:t>
      </w:r>
    </w:p>
    <w:p>
      <w:pPr/>
      <w:r>
        <w:rPr>
          <w:rFonts w:ascii="微软雅黑" w:hAnsi="微软雅黑" w:eastAsia="微软雅黑"/>
          <w:b w:val="0"/>
          <w:sz w:val="21"/>
        </w:rPr>
        <w:t>• RSI 策略交易次数偏少（BTC 10 次、SOL 6 次），统计显著性有限</w:t>
      </w:r>
    </w:p>
    <w:p>
      <w:pPr/>
      <w:r>
        <w:rPr>
          <w:rFonts w:ascii="微软雅黑" w:hAnsi="微软雅黑" w:eastAsia="微软雅黑"/>
          <w:b w:val="0"/>
          <w:sz w:val="21"/>
        </w:rPr>
        <w:t>• 1h K 线粒度限制了出场价格精度（实际交易中可通过更细粒度数据监控 TP/SL）</w:t>
      </w:r>
    </w:p>
    <w:p>
      <w:pPr/>
      <w:r>
        <w:rPr>
          <w:rFonts w:ascii="微软雅黑" w:hAnsi="微软雅黑" w:eastAsia="微软雅黑"/>
          <w:b w:val="0"/>
          <w:sz w:val="21"/>
        </w:rPr>
        <w:t>• 基于现货交易假设（无杠杆），结果可能与杠杆交易存在差异</w:t>
      </w:r>
    </w:p>
    <w:p>
      <w:pPr/>
      <w:r>
        <w:rPr>
          <w:rFonts w:ascii="微软雅黑" w:hAnsi="微软雅黑" w:eastAsia="微软雅黑"/>
          <w:b w:val="0"/>
          <w:sz w:val="21"/>
        </w:rPr>
        <w:t>• 随机采样 250 组参数可能遗漏最优参数组合</w:t>
      </w:r>
    </w:p>
    <w:p>
      <w:pPr>
        <w:pStyle w:val="Heading1"/>
      </w:pPr>
      <w:r>
        <w:t>数据文件清单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文件路径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output/final_summary.csv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12 行汇总表（3币对 × 4策略），C 同学可直接读取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output/trades_{SYMBOL}_{STRATEGY}.csv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逐笔交易明细（12 个文件）</w:t>
            </w:r>
          </w:p>
        </w:tc>
      </w:tr>
      <w:tr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scripts/fixed_strategy_backtest.py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回测脚本源码（可复现全部实验）</w:t>
            </w:r>
          </w:p>
        </w:tc>
      </w:tr>
    </w:tbl>
    <w:p>
      <w:pPr/>
    </w:p>
    <w:p>
      <w:pPr/>
      <w:r>
        <w:rPr>
          <w:rFonts w:ascii="微软雅黑" w:hAnsi="微软雅黑" w:eastAsia="微软雅黑"/>
          <w:b/>
          <w:sz w:val="21"/>
        </w:rPr>
        <w:t>下一阶段: 将 final_summary.csv 移交 C 同学，与 A 同学的 Agent 切换实验结果统一汇总，生成最终实验大表。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