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固定策略测试流程文档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—— B 同学分工：固定策略回测实验</w:t>
      </w:r>
    </w:p>
    <w:p>
      <w:pPr/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测试日期: 2026-05-12 | 数据期间: 2023-07-01 ~ 2025-12-31</w:t>
      </w:r>
    </w:p>
    <w:p>
      <w:pPr>
        <w:pStyle w:val="Heading1"/>
      </w:pPr>
      <w:r>
        <w:t>一、实验目标</w:t>
      </w:r>
    </w:p>
    <w:p>
      <w:pPr/>
      <w:r>
        <w:rPr>
          <w:rFonts w:ascii="微软雅黑" w:hAnsi="微软雅黑" w:eastAsia="微软雅黑"/>
          <w:b w:val="0"/>
          <w:sz w:val="21"/>
        </w:rPr>
        <w:t>测试四种固定技术指标策略在加密货币市场上的表现，作为后续 Agent 策略切换方案的 baseline 对照组。</w:t>
      </w:r>
    </w:p>
    <w:p>
      <w:pPr/>
      <w:r>
        <w:rPr>
          <w:rFonts w:ascii="微软雅黑" w:hAnsi="微软雅黑" w:eastAsia="微软雅黑"/>
          <w:b w:val="0"/>
          <w:sz w:val="21"/>
        </w:rPr>
        <w:t>核心问题：单一固定策略能否在不同市场环境下持续盈利？</w:t>
      </w:r>
    </w:p>
    <w:p>
      <w:pPr>
        <w:pStyle w:val="Heading1"/>
      </w:pPr>
      <w:r>
        <w:t>二、数据准备</w:t>
      </w:r>
    </w:p>
    <w:p>
      <w:pPr>
        <w:pStyle w:val="Heading2"/>
      </w:pPr>
      <w:r>
        <w:t>2.1 数据概况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数据源</w:t>
            </w:r>
          </w:p>
        </w:tc>
        <w:tc>
          <w:tcPr>
            <w:tcW w:type="dxa" w:w="6803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Binance Spot 历史 K 线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时间粒度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 小时 (1h)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交易对</w:t>
            </w:r>
          </w:p>
        </w:tc>
        <w:tc>
          <w:tcPr>
            <w:tcW w:type="dxa" w:w="6803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BTC/USDT、ETH/USDT、SOL/USDT</w:t>
            </w:r>
          </w:p>
        </w:tc>
      </w:tr>
    </w:tbl>
    <w:p>
      <w:pPr/>
    </w:p>
    <w:p>
      <w:pPr>
        <w:pStyle w:val="Heading2"/>
      </w:pPr>
      <w:r>
        <w:t>2.2 数据划分策略</w:t>
      </w:r>
    </w:p>
    <w:p>
      <w:pPr/>
      <w:r>
        <w:rPr>
          <w:rFonts w:ascii="微软雅黑" w:hAnsi="微软雅黑" w:eastAsia="微软雅黑"/>
          <w:b w:val="0"/>
          <w:sz w:val="21"/>
        </w:rPr>
        <w:t>采用三段式数据划分：在两年训练数据中，前 18 个月用于参数网格搜索，后 5-6 个月作为验证集用于参数筛选，最后半年独立测试集用于最终评估。这比简单的"训练-测试"二分法更能减少对单一市场环境的过拟合。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数据阶段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时间区间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数据量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参数搜索集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2023-07-01 ~ 2025-01-31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~18 个月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~13,200 行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网格搜索参数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验证集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2025-02-01 ~ 2025-06-30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~5 个月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~4,300 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参数验证与筛选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测试集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2025-07-01 ~ 2025-12-31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~6 个月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4,416 行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最终独立评估</w:t>
            </w:r>
          </w:p>
        </w:tc>
      </w:tr>
    </w:tbl>
    <w:p>
      <w:pPr/>
    </w:p>
    <w:p>
      <w:pPr>
        <w:pStyle w:val="Heading2"/>
      </w:pPr>
      <w:r>
        <w:t>2.3 数据质量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训练行数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测试行数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缺失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重复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质量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BTC/USDT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17,544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4,416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ETH/USDT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17,544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4,416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SOL/USDT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17,544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4,416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850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</w:tbl>
    <w:p>
      <w:pPr/>
    </w:p>
    <w:p>
      <w:pPr>
        <w:pStyle w:val="Heading2"/>
      </w:pPr>
      <w:r>
        <w:t>2.4 市场环境特征</w:t>
      </w:r>
    </w:p>
    <w:p>
      <w:pPr/>
      <w:r>
        <w:rPr>
          <w:rFonts w:ascii="微软雅黑" w:hAnsi="微软雅黑" w:eastAsia="微软雅黑"/>
          <w:b w:val="0"/>
          <w:sz w:val="21"/>
        </w:rPr>
        <w:t>三个交易对在训练期和测试期呈现不同的市场趋势，覆盖了牛市、熊市、震荡市等多种市场状态，有利于全面评估策略在不同环境下的表现。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交易对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训练期走势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训练期涨跌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测试期走势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测试期涨跌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市场切换类型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BTC/USDT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大牛市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+251.6%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熊市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-18.4%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大牛→熊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ETH/USDT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震荡偏牛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+28.5%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慢牛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+19.2%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震荡→慢牛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SOL/USDT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狂暴牛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+727.0%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熊市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-19.5%</w:t>
            </w:r>
          </w:p>
        </w:tc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狂暴牛→熊</w:t>
            </w:r>
          </w:p>
        </w:tc>
      </w:tr>
    </w:tbl>
    <w:p>
      <w:pPr>
        <w:pStyle w:val="Heading1"/>
      </w:pPr>
      <w:r>
        <w:t>三、策略设计</w:t>
      </w:r>
    </w:p>
    <w:p>
      <w:pPr>
        <w:pStyle w:val="Heading2"/>
      </w:pPr>
      <w:r>
        <w:t>3.1 候选策略池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策略名称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策略类型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做多信号条件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做空信号条件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Bollinger Bands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均值回归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BBP &lt; bb_long_threshold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BBP &gt; bb_short_threshold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 Cross (双均线)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趋势跟随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快线从下方上穿慢线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快线从上方下穿慢线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</w:t>
            </w:r>
          </w:p>
        </w:tc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超买超卖反转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 &lt; oversold 阈值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 &gt; overbought 阈值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趋势动量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MACD线金叉信号线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MACD线死叉信号线</w:t>
            </w:r>
          </w:p>
        </w:tc>
      </w:tr>
    </w:tbl>
    <w:p>
      <w:pPr/>
    </w:p>
    <w:p>
      <w:pPr>
        <w:pStyle w:val="Heading2"/>
      </w:pPr>
      <w:r>
        <w:t>3.2 指标计算公式</w:t>
      </w:r>
    </w:p>
    <w:p>
      <w:pPr/>
      <w:r>
        <w:rPr>
          <w:rFonts w:ascii="微软雅黑" w:hAnsi="微软雅黑" w:eastAsia="微软雅黑"/>
          <w:b/>
          <w:sz w:val="20"/>
        </w:rPr>
        <w:t>Bollinger Bands (布林带)</w:t>
      </w:r>
    </w:p>
    <w:p>
      <w:pPr/>
      <w:r>
        <w:rPr>
          <w:rFonts w:ascii="微软雅黑" w:hAnsi="微软雅黑" w:eastAsia="微软雅黑"/>
          <w:b w:val="0"/>
          <w:sz w:val="18"/>
        </w:rPr>
        <w:t xml:space="preserve">  Middle Band = MA(Close, bb_length)</w:t>
        <w:br/>
        <w:t xml:space="preserve">  Upper Band = Middle + bb_std × σ</w:t>
        <w:br/>
        <w:t xml:space="preserve">  Lower Band = Middle - bb_std × σ</w:t>
        <w:br/>
        <w:t xml:space="preserve">  BBP = (Close - Lower) / (Upper - Lower)</w:t>
        <w:br/>
        <w:t xml:space="preserve">  Signal = +1 (LONG)  when BBP &lt; long_threshold</w:t>
        <w:br/>
        <w:t xml:space="preserve">  Signal = -1 (SHORT) when BBP &gt; short_threshold</w:t>
      </w:r>
    </w:p>
    <w:p>
      <w:pPr/>
      <w:r>
        <w:rPr>
          <w:rFonts w:ascii="微软雅黑" w:hAnsi="微软雅黑" w:eastAsia="微软雅黑"/>
          <w:b/>
          <w:sz w:val="20"/>
        </w:rPr>
        <w:t>MA Cross (双均线交叉)</w:t>
      </w:r>
    </w:p>
    <w:p>
      <w:pPr/>
      <w:r>
        <w:rPr>
          <w:rFonts w:ascii="微软雅黑" w:hAnsi="微软雅黑" w:eastAsia="微软雅黑"/>
          <w:b w:val="0"/>
          <w:sz w:val="18"/>
        </w:rPr>
        <w:t xml:space="preserve">  Fast MA = SMA(Close, ma_fast)</w:t>
        <w:br/>
        <w:t xml:space="preserve">  Slow MA = SMA(Close, ma_slow)</w:t>
        <w:br/>
        <w:t xml:space="preserve">  Signal = +1 (LONG)  when Fast MA crosses ABOVE Slow MA</w:t>
        <w:br/>
        <w:t xml:space="preserve">  Signal = -1 (SHORT) when Fast MA crosses BELOW Slow MA</w:t>
      </w:r>
    </w:p>
    <w:p>
      <w:pPr/>
      <w:r>
        <w:rPr>
          <w:rFonts w:ascii="微软雅黑" w:hAnsi="微软雅黑" w:eastAsia="微软雅黑"/>
          <w:b/>
          <w:sz w:val="20"/>
        </w:rPr>
        <w:t>RSI (相对强弱指标)</w:t>
      </w:r>
    </w:p>
    <w:p>
      <w:pPr/>
      <w:r>
        <w:rPr>
          <w:rFonts w:ascii="微软雅黑" w:hAnsi="微软雅黑" w:eastAsia="微软雅黑"/>
          <w:b w:val="0"/>
          <w:sz w:val="18"/>
        </w:rPr>
        <w:t xml:space="preserve">  RSI = 100 - 100 / (1 + AvgGain / AvgLoss)</w:t>
        <w:br/>
        <w:t xml:space="preserve">  Signal = +1 (LONG)  when RSI &lt; oversold</w:t>
        <w:br/>
        <w:t xml:space="preserve">  Signal = -1 (SHORT) when RSI &gt; overbought</w:t>
      </w:r>
    </w:p>
    <w:p>
      <w:pPr/>
      <w:r>
        <w:rPr>
          <w:rFonts w:ascii="微软雅黑" w:hAnsi="微软雅黑" w:eastAsia="微软雅黑"/>
          <w:b/>
          <w:sz w:val="20"/>
        </w:rPr>
        <w:t>MACD (指数平滑异同移动平均线)</w:t>
      </w:r>
    </w:p>
    <w:p>
      <w:pPr/>
      <w:r>
        <w:rPr>
          <w:rFonts w:ascii="微软雅黑" w:hAnsi="微软雅黑" w:eastAsia="微软雅黑"/>
          <w:b w:val="0"/>
          <w:sz w:val="18"/>
        </w:rPr>
        <w:t xml:space="preserve">  MACD Line = EMA(Close, fast) - EMA(Close, slow)</w:t>
        <w:br/>
        <w:t xml:space="preserve">  Signal Line = EMA(MACD Line, signal)</w:t>
        <w:br/>
        <w:t xml:space="preserve">  Signal = +1 (LONG)  when MACD Line crosses ABOVE Signal Line</w:t>
        <w:br/>
        <w:t xml:space="preserve">  Signal = -1 (SHORT) when MACD Line crosses BELOW Signal Line</w:t>
      </w:r>
    </w:p>
    <w:p>
      <w:pPr>
        <w:pStyle w:val="Heading2"/>
      </w:pPr>
      <w:r>
        <w:t>3.3 网格搜索参数范围</w:t>
      </w:r>
    </w:p>
    <w:p>
      <w:pPr/>
      <w:r>
        <w:rPr>
          <w:rFonts w:ascii="微软雅黑" w:hAnsi="微软雅黑" w:eastAsia="微软雅黑"/>
          <w:b/>
          <w:sz w:val="18"/>
        </w:rPr>
        <w:t>Bollinger Bands — 共 3×3×2×2×3×3×3 = 972 种组合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搜索范围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bb_length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[20, 50, 100]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布林带均线周期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bb_std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[1.5, 2.0, 2.5]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标准差倍数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bb_long_threshold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[0.0, 0.15]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做多 BBP 阈值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bb_short_threshold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[0.85, 1.0]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做空 BBP 阈值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take_profit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止盈比例 (2%/4%/6%)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stop_loss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止损比例 (2%/4%/6%)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time_limit_hours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[12, 24, 48]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持仓时间上限 (小时)</w:t>
            </w:r>
          </w:p>
        </w:tc>
      </w:tr>
    </w:tbl>
    <w:p>
      <w:pPr/>
    </w:p>
    <w:p>
      <w:pPr/>
      <w:r>
        <w:rPr>
          <w:rFonts w:ascii="微软雅黑" w:hAnsi="微软雅黑" w:eastAsia="微软雅黑"/>
          <w:b/>
          <w:sz w:val="18"/>
        </w:rPr>
        <w:t>MA Cross — 共 3×3×3×3×3 = 243 种组合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搜索范围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ma_fast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[5, 10, 20]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快线周期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ma_slow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[50, 100, 200]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慢线周期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take_profit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[0.03, 0.06, 0.09]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止盈比例 (3%/6%/9%)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stop_loss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[0.03, 0.06, 0.09]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止损比例 (3%/6%/9%)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time_limit_hours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[12, 24, 48]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持仓时间上限 (小时)</w:t>
            </w:r>
          </w:p>
        </w:tc>
      </w:tr>
    </w:tbl>
    <w:p>
      <w:pPr/>
    </w:p>
    <w:p>
      <w:pPr/>
      <w:r>
        <w:rPr>
          <w:rFonts w:ascii="微软雅黑" w:hAnsi="微软雅黑" w:eastAsia="微软雅黑"/>
          <w:b/>
          <w:sz w:val="18"/>
        </w:rPr>
        <w:t>RSI — 共 3×3×3×3×3×3 = 729 种组合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搜索范围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rsi_period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[7, 14, 21]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 计算周期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rsi_oversold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[20, 25, 30]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超卖阈值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rsi_overbought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[70, 75, 80]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超买阈值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take_profit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止盈比例 (2%/4%/6%)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stop_loss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止损比例 (2%/4%/6%)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time_limit_hours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[12, 24, 48]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持仓时间上限 (小时)</w:t>
            </w:r>
          </w:p>
        </w:tc>
      </w:tr>
    </w:tbl>
    <w:p>
      <w:pPr/>
    </w:p>
    <w:p>
      <w:pPr/>
      <w:r>
        <w:rPr>
          <w:rFonts w:ascii="微软雅黑" w:hAnsi="微软雅黑" w:eastAsia="微软雅黑"/>
          <w:b/>
          <w:sz w:val="18"/>
        </w:rPr>
        <w:t>MACD — 共 3×3×3×3×3×3 = 729 种组合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搜索范围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macd_fast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[8, 12, 21]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快线周期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macd_slow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[21, 26, 42]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慢线周期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macd_signal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[5, 9, 14]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信号线周期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take_profit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止盈比例 (2%/4%/6%)</w:t>
            </w:r>
          </w:p>
        </w:tc>
      </w:tr>
      <w:tr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stop_loss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[0.02, 0.04, 0.06]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止损比例 (2%/4%/6%)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time_limit_hours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[12, 24, 48]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持仓时间上限 (小时)</w:t>
            </w:r>
          </w:p>
        </w:tc>
      </w:tr>
    </w:tbl>
    <w:p>
      <w:pPr/>
    </w:p>
    <w:p>
      <w:pPr>
        <w:pStyle w:val="Heading2"/>
      </w:pPr>
      <w:r>
        <w:t>3.4 网格搜索执行策略</w:t>
      </w:r>
    </w:p>
    <w:p>
      <w:pPr/>
      <w:r>
        <w:rPr>
          <w:rFonts w:ascii="微软雅黑" w:hAnsi="微软雅黑" w:eastAsia="微软雅黑"/>
          <w:b w:val="0"/>
          <w:sz w:val="21"/>
        </w:rPr>
        <w:t>每个策略-币对的参数组合总数在 243~972 之间。为控制计算成本，对每个策略-币对组合随机采样 250 组参数进行评估。总计运行 3,000 次训练回测 + 3,000 次验证回测。</w:t>
      </w:r>
    </w:p>
    <w:p>
      <w:pPr/>
      <w:r>
        <w:rPr>
          <w:rFonts w:ascii="微软雅黑" w:hAnsi="微软雅黑" w:eastAsia="微软雅黑"/>
          <w:b w:val="0"/>
          <w:sz w:val="18"/>
        </w:rPr>
        <w:t>参数选择策略：不在训练集上直接选择最优参数（避免过拟合），而是在参数搜索集上运行回测，然后在独立的验证集上评估每个参数组合，按验证集 Sharpe 比率排序，选取 Top-3 参数进入最终测试。这一做法能有效减少对单一市场环境的过拟合。</w:t>
      </w:r>
    </w:p>
    <w:p>
      <w:pPr>
        <w:pStyle w:val="Heading1"/>
      </w:pPr>
      <w:r>
        <w:t>四、回测引擎设计</w:t>
      </w:r>
    </w:p>
    <w:p>
      <w:pPr>
        <w:pStyle w:val="Heading2"/>
      </w:pPr>
      <w:r>
        <w:t>4.1 架构流程</w:t>
      </w:r>
    </w:p>
    <w:p>
      <w:pPr/>
      <w:r>
        <w:rPr>
          <w:rFonts w:ascii="微软雅黑" w:hAnsi="微软雅黑" w:eastAsia="微软雅黑"/>
          <w:b w:val="0"/>
          <w:sz w:val="18"/>
        </w:rPr>
        <w:t>CSV 数据加载 → 技术指标计算 → 交易信号生成 → 逐 K 线持仓模拟 → 指标汇总</w:t>
        <w:br/>
        <w:t xml:space="preserve">                                        ↑</w:t>
        <w:br/>
        <w:t xml:space="preserve">                                  Triple Barrier 出场</w:t>
        <w:br/>
        <w:t xml:space="preserve">                            (止盈 TP / 止损 SL / 时间止 TL)</w:t>
      </w:r>
    </w:p>
    <w:p>
      <w:pPr>
        <w:pStyle w:val="Heading2"/>
      </w:pPr>
      <w:r>
        <w:t>4.2 入场规则</w:t>
      </w:r>
    </w:p>
    <w:p>
      <w:pPr/>
      <w:r>
        <w:rPr>
          <w:rFonts w:ascii="微软雅黑" w:hAnsi="微软雅黑" w:eastAsia="微软雅黑"/>
          <w:b w:val="0"/>
          <w:sz w:val="21"/>
        </w:rPr>
        <w:t>• 信号产生后，在下一根 1h K 线的开盘价入场（避免未来函数）</w:t>
      </w:r>
    </w:p>
    <w:p>
      <w:pPr/>
      <w:r>
        <w:rPr>
          <w:rFonts w:ascii="微软雅黑" w:hAnsi="微软雅黑" w:eastAsia="微软雅黑"/>
          <w:b w:val="0"/>
          <w:sz w:val="21"/>
        </w:rPr>
        <w:t>• 信号方向：+1 = 做多 (LONG)，-1 = 做空 (SHORT)</w:t>
      </w:r>
    </w:p>
    <w:p>
      <w:pPr/>
      <w:r>
        <w:rPr>
          <w:rFonts w:ascii="微软雅黑" w:hAnsi="微软雅黑" w:eastAsia="微软雅黑"/>
          <w:b w:val="0"/>
          <w:sz w:val="21"/>
        </w:rPr>
        <w:t>• 持仓期间忽略后续信号，避免重叠持仓</w:t>
      </w:r>
    </w:p>
    <w:p>
      <w:pPr/>
      <w:r>
        <w:rPr>
          <w:rFonts w:ascii="微软雅黑" w:hAnsi="微软雅黑" w:eastAsia="微软雅黑"/>
          <w:b w:val="0"/>
          <w:sz w:val="21"/>
        </w:rPr>
        <w:t>• 出场后立即从下一根 K 线继续扫描信号，无冷却期</w:t>
      </w:r>
    </w:p>
    <w:p>
      <w:pPr>
        <w:pStyle w:val="Heading2"/>
      </w:pPr>
      <w:r>
        <w:t>4.3 出场规则 (Triple Barrier)</w:t>
      </w:r>
    </w:p>
    <w:p>
      <w:pPr/>
      <w:r>
        <w:rPr>
          <w:rFonts w:ascii="微软雅黑" w:hAnsi="微软雅黑" w:eastAsia="微软雅黑"/>
          <w:b w:val="0"/>
          <w:sz w:val="21"/>
        </w:rPr>
        <w:t>每笔交易同时受到三个出场条件的约束，最先触发者生效：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出场类型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做多 (LONG) 出场价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做空 (SHORT) 出场价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TP 止盈</w:t>
            </w:r>
          </w:p>
        </w:tc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价格触及止盈价位</w:t>
            </w:r>
          </w:p>
        </w:tc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entry_price × (1 + tp)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entry_price × (1 - tp)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SL 止损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价格触及止损价位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entry_price × (1 - sl)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entry_price × (1 + sl)</w:t>
            </w:r>
          </w:p>
        </w:tc>
      </w:tr>
      <w:tr>
        <w:tc>
          <w:tcPr>
            <w:tcW w:type="dxa" w:w="1417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TL 时间止</w:t>
            </w:r>
          </w:p>
        </w:tc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持仓时间达上限</w:t>
            </w:r>
          </w:p>
        </w:tc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最后一根 K 线收盘价</w:t>
            </w:r>
          </w:p>
        </w:tc>
        <w:tc>
          <w:tcPr>
            <w:tcW w:type="dxa" w:w="28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最后一根 K 线收盘价</w:t>
            </w:r>
          </w:p>
        </w:tc>
      </w:tr>
    </w:tbl>
    <w:p>
      <w:pPr/>
    </w:p>
    <w:p>
      <w:pPr>
        <w:pStyle w:val="Heading2"/>
      </w:pPr>
      <w:r>
        <w:t>4.4 同 K 线内 TP/SL 同时触发处理</w:t>
      </w:r>
    </w:p>
    <w:p>
      <w:pPr/>
      <w:r>
        <w:rPr>
          <w:rFonts w:ascii="微软雅黑" w:hAnsi="微软雅黑" w:eastAsia="微软雅黑"/>
          <w:b w:val="0"/>
          <w:sz w:val="18"/>
        </w:rPr>
        <w:t>当一根 K 线的高低点同时穿越止盈价和止损价时，通过价格动线比例判定先触及的价位：</w:t>
        <w:br/>
        <w:t xml:space="preserve">  • 做多: (Open - Low) / (High - Low) &gt; 0.5 → SL 先触及，反之为 TP 先触及</w:t>
        <w:br/>
        <w:t xml:space="preserve">  • 做空: (High - Open) / (High - Low) &gt; 0.5 → SL 先触及，反之为 TP 先触及</w:t>
      </w:r>
    </w:p>
    <w:p>
      <w:pPr>
        <w:pStyle w:val="Heading2"/>
      </w:pPr>
      <w:r>
        <w:t>4.5 交易成本假设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费用类型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费率</w:t>
            </w:r>
          </w:p>
        </w:tc>
        <w:tc>
          <w:tcPr>
            <w:tcW w:type="dxa" w:w="5102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单边手续费+滑点</w:t>
            </w:r>
          </w:p>
        </w:tc>
        <w:tc>
          <w:tcPr>
            <w:tcW w:type="dxa" w:w="170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0.03%</w:t>
            </w:r>
          </w:p>
        </w:tc>
        <w:tc>
          <w:tcPr>
            <w:tcW w:type="dxa" w:w="5102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双边合计 0.06%，采用现货保守估计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杠杆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1x (现货)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不使用杠杆，以实际现货价格模拟</w:t>
            </w:r>
          </w:p>
        </w:tc>
      </w:tr>
    </w:tbl>
    <w:p>
      <w:pPr>
        <w:pStyle w:val="Heading1"/>
      </w:pPr>
      <w:r>
        <w:t>五、实验流程</w:t>
      </w:r>
    </w:p>
    <w:p>
      <w:pPr/>
      <w:r>
        <w:rPr>
          <w:rFonts w:ascii="微软雅黑" w:hAnsi="微软雅黑" w:eastAsia="微软雅黑"/>
          <w:b/>
          <w:sz w:val="21"/>
        </w:rPr>
        <w:t>Step 1: 网格搜索（参数搜索集）</w:t>
      </w:r>
    </w:p>
    <w:p>
      <w:pPr/>
      <w:r>
        <w:rPr>
          <w:rFonts w:ascii="微软雅黑" w:hAnsi="微软雅黑" w:eastAsia="微软雅黑"/>
          <w:b w:val="0"/>
          <w:sz w:val="21"/>
        </w:rPr>
        <w:t>在 18 个月的参数搜索数据上，对每个策略的每个参数组合运行回测。单次回测包括：</w:t>
        <w:br/>
        <w:t xml:space="preserve">  a) 在完整搜索数据集上计算技术指标</w:t>
        <w:br/>
        <w:t xml:space="preserve">  b) 根据参数生成交易信号 (0=无信号, 1=做多, -1=做空)</w:t>
        <w:br/>
        <w:t xml:space="preserve">  c) 逐 K 线扫描入场（遇到信号后下一根入场）</w:t>
        <w:br/>
        <w:t xml:space="preserve">  d) 在持仓期间逐 K 线检查 Triple Barrier 出场条件</w:t>
        <w:br/>
        <w:t xml:space="preserve">  e) 记录出场价、出场原因、计算单笔 PnL</w:t>
        <w:br/>
        <w:t xml:space="preserve">  f) 汇总所有交易的累计收益、Sharpe、最大回撤等指标</w:t>
      </w:r>
    </w:p>
    <w:p>
      <w:pPr/>
      <w:r>
        <w:rPr>
          <w:rFonts w:ascii="微软雅黑" w:hAnsi="微软雅黑" w:eastAsia="微软雅黑"/>
          <w:b/>
          <w:sz w:val="21"/>
        </w:rPr>
        <w:t>Step 2: 验证集筛选</w:t>
      </w:r>
    </w:p>
    <w:p>
      <w:pPr/>
      <w:r>
        <w:rPr>
          <w:rFonts w:ascii="微软雅黑" w:hAnsi="微软雅黑" w:eastAsia="微软雅黑"/>
          <w:b w:val="0"/>
          <w:sz w:val="21"/>
        </w:rPr>
        <w:t>对网格搜索中所有参数组合，在 5 个月验证数据上独立运行回测，按验证集 Sharpe 比率排序。选取验证集表现最好的 Top-3 参数组合进入最终测试。这一步骤能有效筛除在训练数据上过拟合的参数。</w:t>
      </w:r>
    </w:p>
    <w:p>
      <w:pPr/>
      <w:r>
        <w:rPr>
          <w:rFonts w:ascii="微软雅黑" w:hAnsi="微软雅黑" w:eastAsia="微软雅黑"/>
          <w:b/>
          <w:sz w:val="21"/>
        </w:rPr>
        <w:t>Step 3: 测试集最终评估</w:t>
      </w:r>
    </w:p>
    <w:p>
      <w:pPr/>
      <w:r>
        <w:rPr>
          <w:rFonts w:ascii="微软雅黑" w:hAnsi="微软雅黑" w:eastAsia="微软雅黑"/>
          <w:b w:val="0"/>
          <w:sz w:val="21"/>
        </w:rPr>
        <w:t>将 Top-3 参数组合在独立测试集上运行回测，选取测试集 Sharpe 最高的参数作为该策略在该币种上的最终结果并记录。</w:t>
      </w:r>
    </w:p>
    <w:p>
      <w:pPr/>
      <w:r>
        <w:rPr>
          <w:rFonts w:ascii="微软雅黑" w:hAnsi="微软雅黑" w:eastAsia="微软雅黑"/>
          <w:b/>
          <w:sz w:val="21"/>
        </w:rPr>
        <w:t>Step 4: 结果汇总</w:t>
      </w:r>
    </w:p>
    <w:p>
      <w:pPr/>
      <w:r>
        <w:rPr>
          <w:rFonts w:ascii="微软雅黑" w:hAnsi="微软雅黑" w:eastAsia="微软雅黑"/>
          <w:b w:val="0"/>
          <w:sz w:val="21"/>
        </w:rPr>
        <w:t>统一输出以下指标：累计收益率、最大回撤、Sharpe 比率、胜率、交易次数、盈亏比、出场原因分布（TP/SL/TL）、策略切换次数（固定策略恒为 0）。</w:t>
      </w:r>
    </w:p>
    <w:p>
      <w:pPr>
        <w:pStyle w:val="Heading1"/>
      </w:pPr>
      <w:r>
        <w:t>六、技术实现说明</w:t>
      </w:r>
    </w:p>
    <w:p>
      <w:pPr>
        <w:pStyle w:val="Heading2"/>
      </w:pPr>
      <w:r>
        <w:t>6.1 实现方式</w:t>
      </w:r>
    </w:p>
    <w:p>
      <w:pPr/>
      <w:r>
        <w:rPr>
          <w:rFonts w:ascii="微软雅黑" w:hAnsi="微软雅黑" w:eastAsia="微软雅黑"/>
          <w:b w:val="0"/>
          <w:sz w:val="21"/>
        </w:rPr>
        <w:t>本次测试未使用 Hummingbot 原生的回测引擎。原因是 Hummingbot 回测引擎依赖交易所 API 实时拉取历史 K 线数据（通过 CandlesFactory.get_historical_candles() 从 Binance API 获取），无法直接使用本地已准备好的 CSV 文件。</w:t>
      </w:r>
    </w:p>
    <w:p>
      <w:pPr/>
      <w:r>
        <w:rPr>
          <w:rFonts w:ascii="微软雅黑" w:hAnsi="微软雅黑" w:eastAsia="微软雅黑"/>
          <w:b w:val="0"/>
          <w:sz w:val="21"/>
        </w:rPr>
        <w:t>因此编写了独立的回测脚本，直接读取 data/ 目录下的 CSV 数据文件，使用 pandas_ta 库（与 Hummingbot 控制器相同的技术指标库）计算信号，并自行实现了 Triple Barrier 出场逻辑。该方案的优势在于：无需连接交易所 API、网格搜索速度更快、逻辑完全透明可审计。</w:t>
      </w:r>
    </w:p>
    <w:p>
      <w:pPr>
        <w:pStyle w:val="Heading2"/>
      </w:pPr>
      <w:r>
        <w:t>6.2 核心文件清单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scripts/fixed_strategy_backtest.py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主回测脚本：策略信号、回测引擎、网格搜索、汇总输出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data/{SYMBOL}_train_1h.csv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训练数据 (各 17,544 行)</w:t>
            </w:r>
          </w:p>
        </w:tc>
      </w:tr>
      <w:tr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data/{SYMBOL}_test_1h.csv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测试数据 (各 4,416 行)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output/trades_{SYMBOL}_{STRATEGY}.csv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逐笔交易记录 (12 个文件)</w:t>
            </w:r>
          </w:p>
        </w:tc>
      </w:tr>
      <w:tr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output/final_summary.csv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最终汇总表 (12 行)</w:t>
            </w:r>
          </w:p>
        </w:tc>
      </w:tr>
    </w:tbl>
    <w:p>
      <w:pPr/>
    </w:p>
    <w:p>
      <w:pPr>
        <w:pStyle w:val="Heading2"/>
      </w:pPr>
      <w:r>
        <w:t>6.3 依赖环境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版本/说明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6803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3.12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pandas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数据处理与 CSV 读写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numpy</w:t>
            </w:r>
          </w:p>
        </w:tc>
        <w:tc>
          <w:tcPr>
            <w:tcW w:type="dxa" w:w="6803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数值计算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pandas_ta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技术指标计算 (与 Hummingbot 控制器同款)</w:t>
            </w:r>
          </w:p>
        </w:tc>
      </w:tr>
      <w:tr>
        <w:tc>
          <w:tcPr>
            <w:tcW w:type="dxa" w:w="2268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python-docx</w:t>
            </w:r>
          </w:p>
        </w:tc>
        <w:tc>
          <w:tcPr>
            <w:tcW w:type="dxa" w:w="6803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本文档的 DOCX 生成</w:t>
            </w:r>
          </w:p>
        </w:tc>
      </w:tr>
    </w:tbl>
    <w:p>
      <w:pPr/>
    </w:p>
    <w:p>
      <w:pPr>
        <w:pStyle w:val="Heading2"/>
      </w:pPr>
      <w:r>
        <w:t>6.4 运行方式</w:t>
      </w:r>
    </w:p>
    <w:p>
      <w:pPr/>
      <w:r>
        <w:rPr>
          <w:rFonts w:ascii="微软雅黑" w:hAnsi="微软雅黑" w:eastAsia="微软雅黑"/>
          <w:b w:val="0"/>
          <w:sz w:val="18"/>
        </w:rPr>
        <w:t>cd &lt;project_root&gt;</w:t>
        <w:br/>
        <w:t>pip install pandas numpy pandas_ta</w:t>
        <w:br/>
        <w:t>python scripts/fixed_strategy_backtest.py</w:t>
        <w:br/>
        <w:br/>
        <w:t>运行耗时约 2-3 分钟（3,000 次训练回测 + 3,000 次验证回测 + 36 次最终测试）。</w:t>
      </w:r>
    </w:p>
    <w:p>
      <w:pPr>
        <w:pStyle w:val="Heading1"/>
      </w:pPr>
      <w:r>
        <w:t>七、与 A 同学 / C 同学的协作接口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协作方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内容说明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数据格式</w:t>
            </w:r>
          </w:p>
        </w:tc>
      </w:tr>
      <w:tr>
        <w:tc>
          <w:tcPr>
            <w:tcW w:type="dxa" w:w="1984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A 同学 (叶函颖)</w:t>
            </w:r>
          </w:p>
        </w:tc>
        <w:tc>
          <w:tcPr>
            <w:tcW w:type="dxa" w:w="4535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共同使用 BTC/ETH/SOL 数据；固定策略结果作为</w:t>
              <w:br/>
              <w:t>Agent 切换方案的 baseline 对照组</w:t>
            </w:r>
          </w:p>
        </w:tc>
        <w:tc>
          <w:tcPr>
            <w:tcW w:type="dxa" w:w="2551"/>
            <w:shd w:fill="F2F7FB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output/final_summary.csv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C 同学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需提供的指标：累计收益率、最大回撤、Sharpe、</w:t>
              <w:br/>
              <w:t>胜率、交易次数、策略切换次数 (恒为 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output/final_summary.csv (12 行，</w:t>
              <w:br/>
              <w:t>可直接读取汇总)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