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ECMA-262 描述了一组具有特定用途的关键字。这些关键字可用于表示控制语句的开始或结束，或者用于执行特定操作等。</w:t>
      </w:r>
      <w:r>
        <w:rPr>
          <w:rFonts w:ascii="宋体" w:hAnsi="宋体" w:eastAsia="宋体" w:cs="宋体"/>
          <w:color w:val="B22222"/>
          <w:kern w:val="0"/>
          <w:sz w:val="24"/>
          <w:szCs w:val="24"/>
          <w:lang w:val="en-US" w:eastAsia="zh-CN" w:bidi="ar"/>
        </w:rPr>
        <w:t>按照规则，关键字也是语言保留的，不能用作标识符。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以下就是ECMAScript的全部关键字（带*号上标的是第5 版新增的关键字）：</w:t>
      </w:r>
    </w:p>
    <w:tbl>
      <w:tblPr>
        <w:tblW w:w="79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8"/>
        <w:gridCol w:w="1913"/>
        <w:gridCol w:w="2363"/>
        <w:gridCol w:w="1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break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instanceof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case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catch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finally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continue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switch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debugger*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this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throw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21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8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try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4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ECMA-262 还描述了另外一组不能用作标识符的保留字。尽管保留字在这门语言中还没有任何特定的用途。但它们有可能在将来被用作关键字。以下是ECMA-262 第3 版定义的全部保留字：</w:t>
      </w:r>
    </w:p>
    <w:tbl>
      <w:tblPr>
        <w:tblW w:w="83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2130"/>
        <w:gridCol w:w="1928"/>
        <w:gridCol w:w="2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abstract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byte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extends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native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synchronized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package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const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goto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debugger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implements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protected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volatile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2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</w:p>
        </w:tc>
        <w:tc>
          <w:tcPr>
            <w:tcW w:w="18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第5 版把在非严格模式下运行时的保留字缩减为下列这些：</w:t>
      </w:r>
    </w:p>
    <w:tbl>
      <w:tblPr>
        <w:tblW w:w="88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299"/>
        <w:gridCol w:w="2657"/>
        <w:gridCol w:w="1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  <w:tblCellSpacing w:w="15" w:type="dxa"/>
        </w:trPr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22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2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extends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  <w:tblCellSpacing w:w="15" w:type="dxa"/>
        </w:trPr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const</w:t>
            </w:r>
          </w:p>
        </w:tc>
        <w:tc>
          <w:tcPr>
            <w:tcW w:w="22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</w:t>
            </w:r>
          </w:p>
        </w:tc>
        <w:tc>
          <w:tcPr>
            <w:tcW w:w="2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</w:p>
        </w:tc>
        <w:tc>
          <w:tcPr>
            <w:tcW w:w="19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在严格模式下，第5 版还对以下保留字施加了限制：</w:t>
      </w:r>
    </w:p>
    <w:tbl>
      <w:tblPr>
        <w:tblW w:w="89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2"/>
        <w:gridCol w:w="1959"/>
        <w:gridCol w:w="1697"/>
        <w:gridCol w:w="2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implements</w:t>
            </w:r>
          </w:p>
        </w:tc>
        <w:tc>
          <w:tcPr>
            <w:tcW w:w="19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package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2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19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static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let</w:t>
            </w:r>
          </w:p>
        </w:tc>
        <w:tc>
          <w:tcPr>
            <w:tcW w:w="2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protected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yield</w:t>
            </w:r>
          </w:p>
        </w:tc>
        <w:tc>
          <w:tcPr>
            <w:tcW w:w="19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B22222"/>
          <w:kern w:val="0"/>
          <w:sz w:val="24"/>
          <w:szCs w:val="24"/>
          <w:lang w:val="en-US" w:eastAsia="zh-CN" w:bidi="ar"/>
        </w:rPr>
        <w:t>注意， let 和yield 是第5 版新增的保留字；其他保留字都是第3 版定义的。为了最大程度地保证兼容性，建议大家将第3 版定义的保留字外加let 和yield 作为编程时的参考。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在实现ECMAScript 3 的JavaScript 引擎中使用关键字作标识符，会导致"Identifier Expected" 错误。而使用保留字作标识符可能会也可能不会导致相同的错误，具体取决于特定的引擎。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第5 版对使用关键字和保留字的规则进行了少许修改。关键字和保留字虽然仍然不能作为标识符使用，但现在可以用作对象的属性名。一般来说，最好都不要使用关键字和保留字作为标识符和属性名，以便与将来的ECMAScript 版本兼容。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除了上面列出的保留字和关键字，ECMA-262 第5 版对eval 和arguments 还施加了限制。在严格模式下，这两个名字也不能作为标识符或属性名，否则会抛出错误。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B6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