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第三周作业解析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宋体"/>
          <w:b/>
          <w:bCs/>
          <w:color w:val="0F3BF9"/>
          <w:kern w:val="0"/>
          <w:sz w:val="32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32"/>
          <w:szCs w:val="32"/>
          <w:lang w:val="en-US" w:eastAsia="zh-CN"/>
        </w:rPr>
        <w:t>第三周作业解析视频：</w:t>
      </w: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30"/>
          <w:szCs w:val="30"/>
          <w:lang w:val="en-US" w:eastAsia="zh-CN"/>
        </w:rPr>
        <w:t>详见微淼课程学习资料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本周重要的网址统计</w:t>
      </w:r>
    </w:p>
    <w:p>
      <w:pPr>
        <w:pStyle w:val="9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微软雅黑" w:hAnsi="微软雅黑" w:eastAsia="微软雅黑" w:cs="宋体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微淼计算器网址：</w:t>
      </w:r>
    </w:p>
    <w:p>
      <w:pPr>
        <w:pStyle w:val="9"/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宋体"/>
          <w:b/>
          <w:bCs/>
          <w:color w:val="0F3BF9"/>
          <w:kern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24"/>
          <w:szCs w:val="24"/>
          <w:u w:val="single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24"/>
          <w:szCs w:val="24"/>
          <w:u w:val="single"/>
          <w:lang w:val="en-US" w:eastAsia="zh-CN" w:bidi="ar-SA"/>
        </w:rPr>
        <w:instrText xml:space="preserve"> HYPERLINK "https://oss-class.weimiaocaishang.com/Site/calculator.html" </w:instrText>
      </w: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24"/>
          <w:szCs w:val="24"/>
          <w:u w:val="single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24"/>
          <w:szCs w:val="24"/>
          <w:u w:val="single"/>
          <w:lang w:val="en-US" w:eastAsia="zh-CN" w:bidi="ar-SA"/>
        </w:rPr>
        <w:t>https://oss-class.weimiaocaishang.com/Site/calculator.html</w:t>
      </w: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24"/>
          <w:szCs w:val="24"/>
          <w:u w:val="single"/>
          <w:lang w:val="en-US" w:eastAsia="zh-CN" w:bidi="ar-SA"/>
        </w:rPr>
        <w:fldChar w:fldCharType="end"/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 w:val="0"/>
          <w:bCs w:val="0"/>
          <w:i w:val="0"/>
          <w:iCs w:val="0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  <w:t>我们第三周作业是让大家研究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t>上证红利指数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360" w:lineRule="auto"/>
        <w:jc w:val="left"/>
        <w:textAlignment w:val="auto"/>
        <w:rPr>
          <w:rFonts w:hint="eastAsia" w:ascii="微软雅黑" w:hAnsi="微软雅黑" w:eastAsia="微软雅黑" w:cs="宋体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4"/>
          <w:szCs w:val="24"/>
          <w:lang w:val="en-US" w:eastAsia="zh-CN"/>
        </w:rPr>
        <w:t>现在以沪深300ETF(代码：510300)为例，给大家一个答题范本，供大家参考。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eastAsia" w:ascii="微软雅黑" w:hAnsi="微软雅黑" w:eastAsia="微软雅黑" w:cs="宋体"/>
          <w:b/>
          <w:bCs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t>查询沪深300指数目前的市盈率，判断是沪深300ETF否符合课程中的好价格标准，并且通过证券账户添加自选沪深300ETF(代码：510300)指数基金</w:t>
      </w:r>
      <w:r>
        <w:rPr>
          <w:rFonts w:hint="eastAsia" w:ascii="微软雅黑" w:hAnsi="微软雅黑" w:eastAsia="微软雅黑" w:cs="宋体"/>
          <w:b/>
          <w:bCs/>
          <w:i w:val="0"/>
          <w:iCs w:val="0"/>
          <w:kern w:val="0"/>
          <w:sz w:val="24"/>
          <w:szCs w:val="24"/>
          <w:lang w:val="en-US" w:eastAsia="zh-CN"/>
        </w:rPr>
        <w:t>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eastAsia" w:ascii="微软雅黑" w:hAnsi="微软雅黑" w:eastAsia="微软雅黑" w:cs="宋体"/>
          <w:b/>
          <w:bCs/>
          <w:i w:val="0"/>
          <w:iCs w:val="0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4"/>
          <w:lang w:val="en-US" w:eastAsia="zh-CN"/>
        </w:rPr>
        <w:t xml:space="preserve">① 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使用雪球APP查询沪深300指数目前的市盈率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操作步骤：打开雪球APP--点击行情--点击市场--点击指数估值--查询“沪深300”市盈率。</w:t>
      </w:r>
    </w:p>
    <w:p>
      <w:pPr>
        <w:widowControl/>
        <w:numPr>
          <w:ilvl w:val="0"/>
          <w:numId w:val="0"/>
        </w:numPr>
        <w:jc w:val="left"/>
      </w:pPr>
      <w:r>
        <w:drawing>
          <wp:inline distT="0" distB="0" distL="114300" distR="114300">
            <wp:extent cx="2526665" cy="4895850"/>
            <wp:effectExtent l="0" t="0" r="317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1905" cy="4860290"/>
            <wp:effectExtent l="0" t="0" r="3175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4"/>
          <w:lang w:val="en-US" w:eastAsia="zh-CN"/>
        </w:rPr>
        <w:t xml:space="preserve">② 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判断是否符合课程中的好价格标准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根据课程中的知识，沪深300指数的合理市盈率波动区间为10-30。</w:t>
      </w:r>
    </w:p>
    <w:p>
      <w:pPr>
        <w:widowControl/>
        <w:numPr>
          <w:ilvl w:val="0"/>
          <w:numId w:val="3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当市盈率小于10的时候，沪深300指数低估，是非常好的买入时机；</w:t>
      </w:r>
    </w:p>
    <w:p>
      <w:pPr>
        <w:widowControl/>
        <w:numPr>
          <w:ilvl w:val="0"/>
          <w:numId w:val="3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当市盈率大于30的时候，沪深300指数高估，是非常好的卖出时机；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当前的沪深300指数市盈率为14.60，目前的价格不是非常好的买入时机，</w:t>
      </w:r>
      <w:r>
        <w:rPr>
          <w:rFonts w:hint="eastAsia" w:ascii="微软雅黑" w:hAnsi="微软雅黑" w:eastAsia="微软雅黑" w:cs="微软雅黑"/>
          <w:szCs w:val="24"/>
          <w:lang w:val="en-US" w:eastAsia="zh-CN"/>
        </w:rPr>
        <w:t>不适合一次性大笔买入。如果投资，建议采用定投的方式。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宋体"/>
          <w:b/>
          <w:bCs/>
          <w:color w:val="0F3BF9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24"/>
          <w:szCs w:val="24"/>
          <w:lang w:val="en-US" w:eastAsia="zh-CN" w:bidi="ar-SA"/>
        </w:rPr>
        <w:t>注意：好价格其实是一个价格区间，而不是某一个具体的价格。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宋体"/>
          <w:b/>
          <w:bCs/>
          <w:color w:val="0F3BF9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4"/>
          <w:lang w:val="en-US" w:eastAsia="zh-CN"/>
        </w:rPr>
        <w:t xml:space="preserve">③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使用涨乐财富通APP演示添加自选和购买过程，详情如下：</w:t>
      </w: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添加自选：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输入搜索的基金代码“510300”--点击“＋”添加自选</w:t>
      </w:r>
    </w:p>
    <w:p>
      <w:pPr>
        <w:widowControl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47160" cy="252031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购买过程：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打开涨乐财富通--点击买入--输入沪深300ETF的基金代码：510300---输入买入数量：100--点击买入---委托买入并点击确定--查看是否成交</w:t>
      </w:r>
    </w:p>
    <w:p>
      <w:pPr>
        <w:widowControl/>
        <w:numPr>
          <w:ilvl w:val="0"/>
          <w:numId w:val="0"/>
        </w:numPr>
        <w:jc w:val="center"/>
      </w:pPr>
      <w:r>
        <w:drawing>
          <wp:inline distT="0" distB="0" distL="114300" distR="114300">
            <wp:extent cx="2270760" cy="4392295"/>
            <wp:effectExtent l="0" t="0" r="0" b="1206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</w:t>
      </w:r>
      <w:r>
        <w:drawing>
          <wp:inline distT="0" distB="0" distL="114300" distR="114300">
            <wp:extent cx="2295525" cy="4392295"/>
            <wp:effectExtent l="0" t="0" r="5715" b="1206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35095" cy="2188210"/>
            <wp:effectExtent l="0" t="0" r="12065" b="635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查看是否购买成功的操作步骤：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点击交易--查询委托或查询成交--查看成交与否</w:t>
      </w:r>
    </w:p>
    <w:p>
      <w:pPr>
        <w:widowControl/>
        <w:numPr>
          <w:ilvl w:val="0"/>
          <w:numId w:val="0"/>
        </w:numPr>
        <w:ind w:left="-420" w:leftChars="-200" w:right="-733" w:rightChars="-349" w:firstLine="0" w:firstLineChars="0"/>
        <w:jc w:val="center"/>
      </w:pPr>
      <w:r>
        <w:drawing>
          <wp:inline distT="0" distB="0" distL="114300" distR="114300">
            <wp:extent cx="3113405" cy="1798955"/>
            <wp:effectExtent l="0" t="0" r="10795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0"/>
        <w:jc w:val="left"/>
        <w:textAlignment w:val="auto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根据指数基金的4大核心功能，</w:t>
      </w:r>
      <w:r>
        <w:rPr>
          <w:rFonts w:hint="eastAsia" w:ascii="微软雅黑" w:hAnsi="微软雅黑" w:eastAsia="微软雅黑" w:cs="宋体"/>
          <w:b/>
          <w:bCs/>
          <w:sz w:val="28"/>
          <w:szCs w:val="28"/>
        </w:rPr>
        <w:t>结合自身实际情况制定目标，为自己或家庭设计一套指数基金投资方案</w:t>
      </w:r>
      <w:r>
        <w:rPr>
          <w:rFonts w:hint="eastAsia" w:ascii="微软雅黑" w:hAnsi="微软雅黑" w:eastAsia="微软雅黑" w:cs="宋体"/>
          <w:b/>
          <w:bCs/>
          <w:sz w:val="28"/>
          <w:szCs w:val="28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我们以小白为例进行分析，小白是工薪阶层，工作比较稳定，月收入为1万元，有一套房子，暂无存款，每月需要偿还房贷3000元，有一个3岁小孩，其他的生活总支出4000元。根据指数基金的4大核心功能，小白的目标很明确，投资指数基金为了给子女提供更好的教育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制定目标：未来孩子上大学时候，给孩子准备50万的教育金。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孩子目前3岁，上大学的年龄约为18岁，那么小白可以用来投资指数基金的时间共15年。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投资方案：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40" w:lineRule="auto"/>
        <w:ind w:left="420" w:leftChars="0" w:right="0" w:hanging="420" w:firstLineChars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由于小白暂无存款，工作稳定，根据现阶段的资金情况，即使指数基金出现好价格，也无法大资金一次性投入。因此，小白可以采用每月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定投的方式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买入指数基金，这种方式可以摊薄买入成本。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40" w:lineRule="auto"/>
        <w:ind w:left="420" w:leftChars="0" w:right="0" w:rightChars="0" w:hanging="420" w:firstLineChars="0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由于指数基金的平均年化收益率在10%左右，那每月定投多少，可以在15年后获得50万的总收益呢？使用微淼计算器定投的功能，经过尝试计算，小白每月定投1200元就可以达成以上目标。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center"/>
      </w:pPr>
      <w:r>
        <w:drawing>
          <wp:inline distT="0" distB="0" distL="114300" distR="114300">
            <wp:extent cx="4085590" cy="2051685"/>
            <wp:effectExtent l="0" t="0" r="139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40" w:lineRule="auto"/>
        <w:ind w:left="420" w:leftChars="0" w:right="0" w:hanging="420" w:firstLineChars="0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由于小白的孩子在15年后才上大学，所以小白最长可以持有沪深ETF基金15年。在此期间，如果沪深300指数的市盈率大于30倍时，可以卖出，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lang w:val="en-US" w:eastAsia="zh-CN"/>
        </w:rPr>
        <w:t>25倍时也可以考虑卖出，卖出后可以买入货币基金。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/>
        </w:rPr>
        <w:t>为什么这样操作呢？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="479" w:leftChars="228" w:right="0" w:righ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因为未来十几年里，指数的市盈率不一定能达到30倍以上，但达到25倍以上还是相对比较容易的。因此，在25倍时考虑卖出，既能保证不耽误孩子上学，也能保证比较高的收益率。</w:t>
      </w:r>
    </w:p>
    <w:p>
      <w:pPr>
        <w:pStyle w:val="4"/>
        <w:keepNext w:val="0"/>
        <w:keepLines w:val="0"/>
        <w:widowControl/>
        <w:suppressLineNumbers w:val="0"/>
        <w:spacing w:before="144" w:beforeAutospacing="0" w:after="144" w:afterAutospacing="0" w:line="240" w:lineRule="auto"/>
        <w:ind w:left="0" w:right="0" w:firstLine="0"/>
        <w:rPr>
          <w:rFonts w:hint="default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  <w:t>第三周作业你学到的重点知识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查询重要指数的市盈率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明确指数基金好价格区间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购买指数基金的操作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明确指数基金的4大功能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设定目标，并制定投资方案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907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港">
    <w:altName w:val="Microsoft JhengHei UI Light"/>
    <w:panose1 w:val="020B0400000000000000"/>
    <w:charset w:val="88"/>
    <w:family w:val="auto"/>
    <w:pitch w:val="default"/>
    <w:sig w:usb0="00000000" w:usb1="00000000" w:usb2="00000017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</w:rPr>
    </w:pPr>
    <w:r>
      <w:rPr>
        <w:rFonts w:hint="eastAsia" w:ascii="苹方-港" w:hAnsi="苹方-港" w:eastAsia="苹方-港" w:cs="苹方-港"/>
        <w:color w:val="0051E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-8255</wp:posOffset>
          </wp:positionH>
          <wp:positionV relativeFrom="paragraph">
            <wp:posOffset>-217170</wp:posOffset>
          </wp:positionV>
          <wp:extent cx="5285105" cy="568960"/>
          <wp:effectExtent l="0" t="0" r="0" b="0"/>
          <wp:wrapTopAndBottom/>
          <wp:docPr id="2" name="图片 2" descr="画板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画板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5105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E9566"/>
    <w:multiLevelType w:val="singleLevel"/>
    <w:tmpl w:val="8A5E956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288ECDF"/>
    <w:multiLevelType w:val="singleLevel"/>
    <w:tmpl w:val="9288ECD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128E1E4"/>
    <w:multiLevelType w:val="singleLevel"/>
    <w:tmpl w:val="B128E1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919DD3E"/>
    <w:multiLevelType w:val="singleLevel"/>
    <w:tmpl w:val="0919DD3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19AD931"/>
    <w:multiLevelType w:val="singleLevel"/>
    <w:tmpl w:val="319AD9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31B3E7E"/>
    <w:multiLevelType w:val="singleLevel"/>
    <w:tmpl w:val="331B3E7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ED8A"/>
    <w:rsid w:val="090106D7"/>
    <w:rsid w:val="0FFFE7CC"/>
    <w:rsid w:val="126F44B6"/>
    <w:rsid w:val="197455E4"/>
    <w:rsid w:val="1C9A09F3"/>
    <w:rsid w:val="1CD938E5"/>
    <w:rsid w:val="20CF2171"/>
    <w:rsid w:val="22A2233F"/>
    <w:rsid w:val="23917DF2"/>
    <w:rsid w:val="2411163B"/>
    <w:rsid w:val="2B584C2C"/>
    <w:rsid w:val="315478C2"/>
    <w:rsid w:val="34AA0FB4"/>
    <w:rsid w:val="36083117"/>
    <w:rsid w:val="3F57508B"/>
    <w:rsid w:val="48617AA2"/>
    <w:rsid w:val="529242EF"/>
    <w:rsid w:val="604472CF"/>
    <w:rsid w:val="605DED8A"/>
    <w:rsid w:val="619E165C"/>
    <w:rsid w:val="66891D0A"/>
    <w:rsid w:val="668FCBB1"/>
    <w:rsid w:val="6A123D04"/>
    <w:rsid w:val="6FE07617"/>
    <w:rsid w:val="7BBC5F40"/>
    <w:rsid w:val="9FBF65DD"/>
    <w:rsid w:val="DFFDA70F"/>
    <w:rsid w:val="F5ADA281"/>
    <w:rsid w:val="FBED7108"/>
    <w:rsid w:val="FF7FE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List Paragraph"/>
    <w:basedOn w:val="1"/>
    <w:qFormat/>
    <w:uiPriority w:val="26"/>
    <w:pPr>
      <w:ind w:firstLine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2020-07-17T07:10:00Z</dcterms:created>
  <dc:creator>sheji</dc:creator>
  <cp:lastModifiedBy>微淼</cp:lastModifiedBy>
  <dcterms:modified xsi:type="dcterms:W3CDTF">2020-09-01T18:13:30Z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