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第五周作业解析</w:t>
      </w:r>
    </w:p>
    <w:p>
      <w:pPr>
        <w:widowControl/>
        <w:numPr>
          <w:ilvl w:val="0"/>
          <w:numId w:val="0"/>
        </w:numPr>
        <w:jc w:val="left"/>
        <w:outlineLvl w:val="0"/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  <w:t>第五周作业解析视频：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0"/>
          <w:szCs w:val="30"/>
          <w:lang w:val="en-US" w:eastAsia="zh-CN"/>
        </w:rPr>
        <w:t>详见微淼课程学习资料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本周电脑操作工具和网址统计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i问财选股网址：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 xml:space="preserve"> 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instrText xml:space="preserve"> HYPERLINK "http://www.iwencai.com/?allow_redirect=false" </w:instrTex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http://www.iwencai.com/?allow_redirect=false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个股的网址查询【雪球】：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https://xueqiu.com/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"https://www.legulegu.com/stockdata/shenzhenPE" \o "https://www.legulegu.com/stockdata/shenzhenPE"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  <w:lang w:val="en-US" w:eastAsia="zh-CN"/>
        </w:rPr>
        <w:t>恒生指数</w:t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市盈率网址：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"https://www.legulegu.com/stockdata/market/hsi"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https://www.legulegu.com/stockdata/market/hsi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"https://www.legulegu.com/stockdata/shenzhenPE" \o "https://www.legulegu.com/stockdata/shenzhenPE"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  <w:lang w:val="en-US" w:eastAsia="zh-CN"/>
        </w:rPr>
        <w:t>标普500指数</w:t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市盈率网址：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"https://www.legulegu.com/stockdata/market/sandp"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https://www.legulegu.com/stockdata/market/sandp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中国十年期国债收益率【英为财情】：</w:t>
      </w:r>
    </w:p>
    <w:p>
      <w:pPr>
        <w:numPr>
          <w:ilvl w:val="0"/>
          <w:numId w:val="0"/>
        </w:numPr>
        <w:ind w:leftChars="0" w:firstLine="420"/>
        <w:jc w:val="both"/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</w:pP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instrText xml:space="preserve"> HYPERLINK "https://cn.investing.com/rates-bonds/china-10-year-bond-yield" \o "https://cn.investing.com/rates-bonds/china-10-year-bond-yield" </w:instrTex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https://cn.investing.com/rates-bonds/china-10-year-bond-yield</w:t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微软雅黑" w:hAnsi="微软雅黑" w:eastAsia="微软雅黑" w:cs="微软雅黑"/>
          <w:i w:val="0"/>
          <w:color w:val="auto"/>
          <w:kern w:val="0"/>
          <w:sz w:val="21"/>
          <w:szCs w:val="21"/>
          <w:u w:val="singl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美国十年期国债收益率【英为财情】：</w:t>
      </w:r>
    </w:p>
    <w:p>
      <w:pPr>
        <w:numPr>
          <w:ilvl w:val="0"/>
          <w:numId w:val="0"/>
        </w:numPr>
        <w:ind w:leftChars="0" w:firstLine="42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"https://cn.investing.com/rates-bonds/u.s.-10-year-bond-yield"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https://cn.investing.com/rates-bonds/u.s.-10-year-bond-yield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美联储现行利率【英为财情】：</w:t>
      </w:r>
    </w:p>
    <w:p>
      <w:pP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instrText xml:space="preserve"> HYPERLINK "https://cn.investing.com/economic-calendar/interest-rate-decision-168" </w:instrText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t>https://cn.investing.com/economic-calendar/interest-rate-decision-168</w:t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</w:p>
    <w:p>
      <w:pPr>
        <w:widowControl/>
        <w:numPr>
          <w:ilvl w:val="0"/>
          <w:numId w:val="0"/>
        </w:numPr>
        <w:jc w:val="left"/>
        <w:outlineLvl w:val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本周计算公式总结：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 = 15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）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港股股息率法好价格 = TTM股息÷中国十年期国债收益率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美股股息率法好价格 = TTM股息</w:t>
      </w: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>×90%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÷美国十年期国债收益率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TTM是最近4个季度的意思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好价格 = </w:t>
      </w: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>15×TTM每股收益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TTM每股收益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  <w:t>当前股价÷TTM市盈率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 xml:space="preserve">TTM市盈率 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=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当前市值÷最近4个季度的净利润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TTM股息率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</w:rPr>
        <w:t xml:space="preserve">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TTM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highlight w:val="none"/>
          <w:lang w:val="en-US" w:eastAsia="zh-CN"/>
        </w:rPr>
        <w:t>股息÷股价×100%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派息比率 = 股利支付率 = 分红比率 =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分红（股息）÷净利润 =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每股股息÷每股收益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涨跌幅 =（现在的点位-最高的点位）÷ 最高的点位</w:t>
      </w: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1453"/>
        </w:tabs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outlineLvl w:val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根据财务自由港股投资方法精挑细选出港股中的好公司，并任选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家好公司计算出其股票的好价格。</w:t>
      </w:r>
    </w:p>
    <w:p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36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28"/>
        </w:rPr>
        <w:t>电脑端操作方法</w:t>
      </w:r>
    </w:p>
    <w:p>
      <w:pPr>
        <w:jc w:val="both"/>
        <w:outlineLvl w:val="0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一、选出好公司</w:t>
      </w:r>
    </w:p>
    <w:p>
      <w:pPr>
        <w:outlineLvl w:val="1"/>
        <w:rPr>
          <w:rFonts w:hint="default" w:ascii="微软雅黑" w:hAnsi="微软雅黑" w:eastAsia="微软雅黑" w:cs="微软雅黑"/>
          <w:b/>
          <w:sz w:val="28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第一步：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打开i问财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打开i问财选股：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220" w:lineRule="atLeast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522595" cy="2272030"/>
            <wp:effectExtent l="0" t="0" r="9525" b="1397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="微软雅黑" w:hAnsi="微软雅黑" w:eastAsia="微软雅黑" w:cs="微软雅黑"/>
          <w:b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</w:rPr>
        <w:t>股票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default" w:ascii="微软雅黑" w:hAnsi="微软雅黑" w:eastAsia="微软雅黑" w:cs="微软雅黑"/>
        </w:rPr>
        <w:t>—</w:t>
      </w:r>
      <w:r>
        <w:rPr>
          <w:rFonts w:hint="eastAsia" w:ascii="微软雅黑" w:hAnsi="微软雅黑" w:eastAsia="微软雅黑" w:cs="微软雅黑"/>
          <w:lang w:val="en-US" w:eastAsia="zh-CN"/>
        </w:rPr>
        <w:t>复制粘贴第二步中的“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eastAsia" w:ascii="微软雅黑" w:hAnsi="微软雅黑" w:eastAsia="微软雅黑" w:cs="微软雅黑"/>
        </w:rPr>
        <w:t>条件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default" w:ascii="微软雅黑" w:hAnsi="微软雅黑" w:eastAsia="微软雅黑" w:cs="微软雅黑"/>
        </w:rPr>
        <w:t>—点击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default" w:ascii="微软雅黑" w:hAnsi="微软雅黑" w:eastAsia="微软雅黑" w:cs="微软雅黑"/>
        </w:rPr>
        <w:t>问一下财</w:t>
      </w:r>
      <w:r>
        <w:rPr>
          <w:rFonts w:hint="eastAsia" w:ascii="微软雅黑" w:hAnsi="微软雅黑" w:eastAsia="微软雅黑" w:cs="微软雅黑"/>
          <w:lang w:eastAsia="zh-CN"/>
        </w:rPr>
        <w:t>”</w:t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b/>
          <w:sz w:val="28"/>
          <w:szCs w:val="36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连续5年的ROE大于15%，连续5年的净利润现金含量大于80%，连续5年的毛利率大于40%，上市大于3年，平均连续5年净利润现金含量，连续5年的资产负债率，连续5年的股利支付率，行业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i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问财还不够智能，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空格和标点符号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不同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会影响筛选结果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请严格复制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z w:val="18"/>
          <w:szCs w:val="18"/>
          <w:lang w:val="en-US" w:eastAsia="zh-CN"/>
        </w:rPr>
        <w:t>上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面的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</w:rPr>
        <w:t>条件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，不要更改。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以下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条件的解析----------------------------------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港股的海选条件：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1"/>
          <w:szCs w:val="11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连续5年的ROE大于15%，连续5年的净利润现金含量大于80%，连续5年的毛利率大于40%，上市大于3年。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精挑细选港股公司的条件和标准是：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2、连续5年的资产负债率中，有1年或1年以上大于60%的，淘汰掉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"/>
          <w:szCs w:val="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3、连续5年的年度分红总额除以净利润小于25%的，淘汰掉，互联网高科技公司除外。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的条件可以简化为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平均连续5年净利润现金含量</w:t>
      </w:r>
      <w:r>
        <w:rPr>
          <w:rFonts w:hint="eastAsia" w:ascii="微软雅黑" w:hAnsi="微软雅黑" w:eastAsia="微软雅黑" w:cs="微软雅黑"/>
          <w:b w:val="0"/>
          <w:bCs/>
          <w:color w:val="333333"/>
          <w:szCs w:val="21"/>
          <w:shd w:val="clear" w:color="auto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bCs/>
          <w:color w:val="333333"/>
          <w:szCs w:val="21"/>
          <w:shd w:val="clear" w:color="auto" w:fill="FFFFFF"/>
        </w:rPr>
        <w:t>连续5年的资产负债率，连续5年的</w:t>
      </w:r>
      <w:r>
        <w:rPr>
          <w:rFonts w:hint="eastAsia" w:ascii="微软雅黑" w:hAnsi="微软雅黑" w:eastAsia="微软雅黑" w:cs="微软雅黑"/>
          <w:b w:val="0"/>
          <w:bCs/>
          <w:color w:val="333333"/>
          <w:szCs w:val="21"/>
          <w:shd w:val="clear" w:color="auto" w:fill="FFFFFF"/>
          <w:lang w:val="en-US" w:eastAsia="zh-CN"/>
        </w:rPr>
        <w:t>股利支付率</w:t>
      </w:r>
      <w:r>
        <w:rPr>
          <w:rFonts w:hint="eastAsia" w:ascii="微软雅黑" w:hAnsi="微软雅黑" w:eastAsia="微软雅黑" w:cs="微软雅黑"/>
          <w:b w:val="0"/>
          <w:bCs/>
          <w:color w:val="333333"/>
          <w:szCs w:val="21"/>
          <w:shd w:val="clear" w:color="auto" w:fill="FFFFFF"/>
        </w:rPr>
        <w:t>，</w:t>
      </w: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行业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增加行业这个条件，是帮助我们查看公司是否是互联网高科技公司。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备注：与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视频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笔记相比，增加了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平均连续5年净利润现金含量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这一条件，是为了简化同学们的计算量，i问财可以直接计算出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连续5年净利润现金含量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的平均值。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股利支付率就是分红比率，两者计算公式相同，都是分红金额占净利润的比率，只是说法不一样。i问财港股筛选中不能识别分红比率，所以更换为股利支付率这个名词。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t>将海选条件和精挑细选的条件合并之后，就得到了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default" w:ascii="微软雅黑" w:hAnsi="微软雅黑" w:eastAsia="微软雅黑" w:cs="微软雅黑"/>
          <w:lang w:eastAsia="zh-CN"/>
        </w:rPr>
        <w:t>条件。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以上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条件的解析----------------------------------</w:t>
      </w:r>
    </w:p>
    <w:p>
      <w:pPr>
        <w:rPr>
          <w:rFonts w:hint="eastAsia" w:ascii="微软雅黑" w:hAnsi="微软雅黑" w:eastAsia="微软雅黑" w:cs="微软雅黑"/>
          <w:b/>
        </w:rPr>
      </w:pPr>
    </w:p>
    <w:p>
      <w:pPr>
        <w:rPr>
          <w:rFonts w:hint="eastAsia" w:ascii="微软雅黑" w:hAnsi="微软雅黑" w:eastAsia="微软雅黑" w:cs="微软雅黑"/>
          <w:b/>
        </w:rPr>
      </w:pPr>
    </w:p>
    <w:p>
      <w:pPr>
        <w:rPr>
          <w:rFonts w:hint="eastAsia" w:ascii="微软雅黑" w:hAnsi="微软雅黑" w:eastAsia="微软雅黑" w:cs="微软雅黑"/>
          <w:b/>
        </w:rPr>
      </w:pPr>
    </w:p>
    <w:p>
      <w:pPr>
        <w:outlineLvl w:val="1"/>
        <w:rPr>
          <w:rFonts w:hint="eastAsia" w:ascii="微软雅黑" w:hAnsi="微软雅黑" w:eastAsia="微软雅黑" w:cs="微软雅黑"/>
          <w:sz w:val="28"/>
          <w:szCs w:val="36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三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精挑细选好公司</w:t>
      </w:r>
    </w:p>
    <w:p>
      <w:pPr>
        <w:widowControl/>
        <w:numPr>
          <w:ilvl w:val="0"/>
          <w:numId w:val="0"/>
        </w:numPr>
        <w:ind w:leftChars="0"/>
        <w:jc w:val="left"/>
        <w:outlineLvl w:val="2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输入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第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二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条件会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看到以下页面</w:t>
      </w:r>
    </w:p>
    <w:p>
      <w:pPr>
        <w:widowControl/>
        <w:numPr>
          <w:ilvl w:val="0"/>
          <w:numId w:val="0"/>
        </w:numPr>
        <w:ind w:left="0" w:leftChars="-100" w:hanging="210" w:hangingChars="100"/>
        <w:jc w:val="left"/>
        <w:rPr>
          <w:rFonts w:hint="eastAsia" w:ascii="微软雅黑" w:hAnsi="微软雅黑" w:cs="微软雅黑" w:eastAsiaTheme="minorEastAsia"/>
          <w:lang w:eastAsia="zh-CN"/>
        </w:rPr>
      </w:pPr>
      <w:r>
        <w:drawing>
          <wp:inline distT="0" distB="0" distL="114300" distR="114300">
            <wp:extent cx="5268595" cy="4529455"/>
            <wp:effectExtent l="0" t="0" r="4445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outlineLvl w:val="2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二、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① 连续5年的平均净利润现金含量低于100%的，淘汰掉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Style w:val="10"/>
          <w:rFonts w:hint="eastAsia" w:ascii="微软雅黑" w:hAnsi="微软雅黑" w:eastAsia="微软雅黑" w:cs="微软雅黑"/>
          <w:i w:val="0"/>
          <w:sz w:val="21"/>
          <w:szCs w:val="21"/>
          <w:u w:val="none"/>
          <w:lang w:val="en-US" w:eastAsia="zh-CN"/>
        </w:rPr>
        <w:t>精选条件1中需计算连续5年的平均净利润现金含量的平均值，i问财网址已经计算出来</w:t>
      </w:r>
      <w:r>
        <w:rPr>
          <w:rFonts w:hint="eastAsia" w:ascii="微软雅黑" w:hAnsi="微软雅黑" w:eastAsia="微软雅黑" w:cs="微软雅黑"/>
          <w:lang w:val="en-US" w:eastAsia="zh-CN"/>
        </w:rPr>
        <w:t>，我们直接观察即可！其他的条件大家可以滑动后进行精选和查看。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可以看到这8家公司连续5年的平均净利润现金含量都大于100%，这个指标全部合格。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/>
        <w:numPr>
          <w:ilvl w:val="0"/>
          <w:numId w:val="0"/>
        </w:numPr>
        <w:ind w:left="-1039" w:leftChars="-495" w:firstLine="0" w:firstLineChars="0"/>
        <w:jc w:val="left"/>
      </w:pPr>
    </w:p>
    <w:p>
      <w:pPr>
        <w:widowControl/>
        <w:numPr>
          <w:ilvl w:val="0"/>
          <w:numId w:val="0"/>
        </w:numPr>
        <w:ind w:left="-1039" w:leftChars="-495" w:firstLine="0" w:firstLineChars="0"/>
        <w:jc w:val="left"/>
      </w:pPr>
    </w:p>
    <w:p>
      <w:pPr>
        <w:widowControl/>
        <w:numPr>
          <w:ilvl w:val="0"/>
          <w:numId w:val="0"/>
        </w:numPr>
        <w:jc w:val="left"/>
      </w:pPr>
    </w:p>
    <w:p>
      <w:pPr>
        <w:widowControl/>
        <w:numPr>
          <w:ilvl w:val="0"/>
          <w:numId w:val="0"/>
        </w:numPr>
        <w:ind w:left="0" w:leftChars="-400" w:hanging="840" w:hangingChars="400"/>
        <w:jc w:val="center"/>
      </w:pPr>
    </w:p>
    <w:p>
      <w:pPr>
        <w:widowControl/>
        <w:numPr>
          <w:ilvl w:val="0"/>
          <w:numId w:val="0"/>
        </w:numPr>
        <w:ind w:left="0" w:leftChars="-400" w:hanging="840" w:hangingChars="400"/>
        <w:jc w:val="center"/>
      </w:pPr>
      <w:r>
        <w:drawing>
          <wp:inline distT="0" distB="0" distL="114300" distR="114300">
            <wp:extent cx="6120130" cy="4380230"/>
            <wp:effectExtent l="0" t="0" r="6350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② 连续5年的资产负债率中，有1年或1年以上大于60%的，淘汰掉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1、“永利澳门”的资产负债率连续5年都大于60%，淘汰；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2、“金沙中国有限公司”的资产负债率在2018年和2019年已经连续两年高于60%，不符合标准，淘汰。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3、“腾讯”虽然2015年的资产负债率为60.2%，略微大于60%。但2016年至2019年的每年的资产负债率呈现下降趋势，所以也符合精挑细选条件，暂不淘汰。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其他5家符合标准，我们保留</w:t>
      </w:r>
    </w:p>
    <w:p>
      <w:pPr>
        <w:widowControl/>
        <w:numPr>
          <w:ilvl w:val="0"/>
          <w:numId w:val="0"/>
        </w:numPr>
        <w:ind w:left="0" w:leftChars="-295" w:hanging="619" w:hangingChars="295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61405" cy="2794000"/>
            <wp:effectExtent l="0" t="0" r="10795" b="10160"/>
            <wp:docPr id="15" name="图片 15" descr="资产负债率【电脑端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资产负债率【电脑端】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③ 连续5年的年度分红总额除以净利润小于25%的，淘汰掉，互联网高科技公司除外。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含有“互联网”“软件”、“互动媒体”、“信息技术”字眼的判定为互联网高科技公司。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腾讯控股分红比率较低，但属于互联网高科技公司，符合标准不淘汰。</w:t>
      </w:r>
    </w:p>
    <w:p>
      <w:pPr>
        <w:widowControl/>
        <w:numPr>
          <w:ilvl w:val="0"/>
          <w:numId w:val="0"/>
        </w:numPr>
        <w:jc w:val="left"/>
      </w:pPr>
      <w:r>
        <w:rPr>
          <w:rFonts w:hint="eastAsia" w:ascii="微软雅黑" w:hAnsi="微软雅黑" w:eastAsia="微软雅黑" w:cs="微软雅黑"/>
          <w:lang w:val="en-US" w:eastAsia="zh-CN"/>
        </w:rPr>
        <w:t>其他5家符合标准，我们保留。</w:t>
      </w:r>
    </w:p>
    <w:p>
      <w:pPr>
        <w:widowControl/>
        <w:numPr>
          <w:ilvl w:val="0"/>
          <w:numId w:val="0"/>
        </w:numPr>
        <w:ind w:left="-1042" w:leftChars="-496" w:firstLine="0" w:firstLineChars="0"/>
        <w:jc w:val="left"/>
      </w:pPr>
      <w:r>
        <w:drawing>
          <wp:inline distT="0" distB="0" distL="114300" distR="114300">
            <wp:extent cx="6480175" cy="2597785"/>
            <wp:effectExtent l="0" t="0" r="12065" b="825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第四步：记录好公司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把选出港股好公司的重要过程进行截图，并记录在作业中。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outlineLvl w:val="0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计算好价格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进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股票的条件：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1、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恒生指数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市盈率小于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0且好公司的TTM市盈率小于15；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2、动态股息率大于10年期国债收益率。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当同时满足这两个条件时，我们就可以买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入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股票了。</w:t>
      </w:r>
    </w:p>
    <w:p>
      <w:pPr>
        <w:numPr>
          <w:ilvl w:val="0"/>
          <w:numId w:val="0"/>
        </w:numPr>
        <w:ind w:leftChars="0"/>
        <w:jc w:val="both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①恒生指数的市盈率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【乐股网】恒生指数市盈率网址：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"https://www.legulegu.com/stockdata/market/hsi"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https://www.legulegu.com/stockdata/market/hsi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rPr>
          <w:rStyle w:val="10"/>
          <w:rFonts w:hint="eastAsia" w:ascii="微软雅黑" w:hAnsi="微软雅黑" w:eastAsia="微软雅黑" w:cs="微软雅黑"/>
          <w:sz w:val="18"/>
          <w:szCs w:val="20"/>
          <w:u w:val="none"/>
          <w:lang w:val="en-US" w:eastAsia="zh-CN"/>
        </w:rPr>
      </w:pPr>
      <w:r>
        <w:rPr>
          <w:rStyle w:val="10"/>
          <w:rFonts w:hint="eastAsia" w:ascii="微软雅黑" w:hAnsi="微软雅黑" w:eastAsia="微软雅黑" w:cs="微软雅黑"/>
          <w:sz w:val="18"/>
          <w:szCs w:val="20"/>
          <w:u w:val="none"/>
          <w:lang w:val="en-US" w:eastAsia="zh-CN"/>
        </w:rPr>
        <w:t>备注：此网址虽然与视频中不一致，但是数据刷新的速度更加流畅和快捷，本周作业使用此网址数据。</w:t>
      </w:r>
    </w:p>
    <w:p>
      <w:r>
        <w:drawing>
          <wp:inline distT="0" distB="0" distL="114300" distR="114300">
            <wp:extent cx="5332730" cy="3176905"/>
            <wp:effectExtent l="0" t="0" r="1270" b="825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上图中恒生指数平均市盈率为10.61倍，大于10倍。恒生指数市盈率暂不符合投资标准，但仍处于低估区间时，我们可以通过计算个股的好价格，判断其是否具有投资价值。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0"/>
        <w:rPr>
          <w:rFonts w:hint="default" w:ascii="微软雅黑" w:hAnsi="微软雅黑" w:eastAsia="微软雅黑" w:cs="微软雅黑"/>
          <w:b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2"/>
          <w:lang w:val="en-US" w:eastAsia="zh-CN"/>
        </w:rPr>
        <w:t>②股票好价格计算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2405" cy="694690"/>
            <wp:effectExtent l="0" t="0" r="635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我们以维他奶国际为例，计算它的好价格。</w:t>
      </w:r>
    </w:p>
    <w:p>
      <w:pPr>
        <w:outlineLvl w:val="0"/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第一步：查询维他奶国际的股价、TTM市盈率、TTM股息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个股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查询网址【雪球】：</w:t>
      </w:r>
      <w:r>
        <w:rPr>
          <w:rStyle w:val="8"/>
          <w:rFonts w:hint="eastAsia" w:ascii="微软雅黑" w:hAnsi="微软雅黑" w:eastAsia="微软雅黑" w:cs="微软雅黑"/>
          <w:i w:val="0"/>
          <w:color w:val="0000FF"/>
          <w:sz w:val="21"/>
          <w:szCs w:val="21"/>
          <w:u w:val="single"/>
        </w:rPr>
        <w:t>https://xueqiu.com/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ind w:leftChars="0"/>
        <w:jc w:val="center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drawing>
          <wp:inline distT="0" distB="0" distL="114300" distR="114300">
            <wp:extent cx="4795520" cy="1188085"/>
            <wp:effectExtent l="0" t="0" r="5080" b="63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122170"/>
            <wp:effectExtent l="0" t="0" r="190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中国十年期国债收益率查询网址：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instrText xml:space="preserve"> HYPERLINK "https://cn.investing.com/rates-bonds/china-10-year-bond-yield" \o "https://cn.investing.com/rates-bonds/china-10-year-bond-yield" </w:instrTex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olor w:val="0000FF"/>
          <w:sz w:val="21"/>
          <w:szCs w:val="21"/>
          <w:u w:val="single"/>
        </w:rPr>
        <w:t>https://cn.investing.com/rates-bonds/china-10-year-bond-yield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834130" cy="1403985"/>
            <wp:effectExtent l="0" t="0" r="6350" b="1333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  <w:t>备注：3.046%=0.03046</w:t>
      </w:r>
    </w:p>
    <w:p>
      <w:pPr>
        <w:outlineLvl w:val="0"/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第三步：计算维他奶国际的好价格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好价格=15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）=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15×（30.6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÷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60.75）=7.56    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股息率法好价格=TTM股息÷中国十年期国债收益率= 0.32÷3.046%=10.51 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最终的好价格为两者的最小值7.56港元。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上图中维他奶国际股价为30.6港元，远高于计算的好价格。还需要研究财务报表和企业分析，做进一步的判断。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2、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根据财务自由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股中的好公司，并任选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家好公司计算出其股票的好价格。</w:t>
      </w:r>
    </w:p>
    <w:p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36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28"/>
        </w:rPr>
        <w:t>电脑端操作方法</w:t>
      </w:r>
    </w:p>
    <w:p>
      <w:pPr>
        <w:jc w:val="both"/>
        <w:outlineLvl w:val="0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一、选出好公司</w:t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第一步：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打开i问财网页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我们打开i问财选股：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220" w:lineRule="atLeast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41520" cy="1958340"/>
            <wp:effectExtent l="0" t="0" r="0" b="762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="微软雅黑" w:hAnsi="微软雅黑" w:eastAsia="微软雅黑" w:cs="微软雅黑"/>
          <w:b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</w:rPr>
        <w:t>股票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default" w:ascii="微软雅黑" w:hAnsi="微软雅黑" w:eastAsia="微软雅黑" w:cs="微软雅黑"/>
        </w:rPr>
        <w:t>—</w:t>
      </w:r>
      <w:r>
        <w:rPr>
          <w:rFonts w:hint="eastAsia" w:ascii="微软雅黑" w:hAnsi="微软雅黑" w:eastAsia="微软雅黑" w:cs="微软雅黑"/>
          <w:lang w:val="en-US" w:eastAsia="zh-CN"/>
        </w:rPr>
        <w:t>复制粘贴第二步中的“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eastAsia" w:ascii="微软雅黑" w:hAnsi="微软雅黑" w:eastAsia="微软雅黑" w:cs="微软雅黑"/>
        </w:rPr>
        <w:t>条件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default" w:ascii="微软雅黑" w:hAnsi="微软雅黑" w:eastAsia="微软雅黑" w:cs="微软雅黑"/>
        </w:rPr>
        <w:t>—点击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default" w:ascii="微软雅黑" w:hAnsi="微软雅黑" w:eastAsia="微软雅黑" w:cs="微软雅黑"/>
        </w:rPr>
        <w:t>问一下财</w:t>
      </w:r>
      <w:r>
        <w:rPr>
          <w:rFonts w:hint="eastAsia" w:ascii="微软雅黑" w:hAnsi="微软雅黑" w:eastAsia="微软雅黑" w:cs="微软雅黑"/>
          <w:lang w:eastAsia="zh-CN"/>
        </w:rPr>
        <w:t>”</w:t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b/>
          <w:sz w:val="28"/>
          <w:szCs w:val="36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3年的ROE大于15%，连续5年的经营活动净现金流量除以净利润大于80%，连续5年的毛利率大于40%，上市大于3年，市值大于500亿，连续5年的资产负债率小于60%，2015年区间分红总额除以2015年净利润，2016年区间分红总额除以2016年净利润，2017年区间分红总额除以2017年净利润，2018年区间分红总额除以2018年净利润，2019年区间分红总额除以2019年净利润，行业。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i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问财还不够智能，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空格和标点符号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不同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会影响筛选结果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，请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严格复制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z w:val="18"/>
          <w:szCs w:val="18"/>
          <w:lang w:val="en-US" w:eastAsia="zh-CN"/>
        </w:rPr>
        <w:t>上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面的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</w:rPr>
        <w:t>条件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，不要更改。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以下美股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美股的海选条件：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连续3年的ROE大于15%，连续5年的经营活动净现金流量除以净利润大于80%，连续5年的毛利率大于40%，上市大于3年，市值大于500亿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精挑细选美股公司的条件和标准是：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2、连续5年的资产负债率中，有1年或1年以上大于60%的，淘汰掉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3、连续5年的年区间分红总额除以净利润小于25%的，淘汰掉，互联网、高科技公司除外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eastAsia="zh-CN"/>
        </w:rPr>
        <w:t>精挑细选的条件可以简化为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连续5年的资产负债率小于60%，2015年区间分红总额除以2015年净利润，2016年区间分红总额除以2016年净利润，2017年区间分红总额除以2017年净利润，2018年区间分红总额除以2018年净利润，2019年区间分红总额除以2019年净利润，行业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增加“行业”这个条件，是帮助我们查看公司是否是互联网高科技公司。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t>将海选条件和精挑细选的条件合并之后，就得到了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default" w:ascii="微软雅黑" w:hAnsi="微软雅黑" w:eastAsia="微软雅黑" w:cs="微软雅黑"/>
          <w:lang w:eastAsia="zh-CN"/>
        </w:rPr>
        <w:t>条件。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以上美股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</w:rPr>
      </w:pP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三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精挑细选好公司</w:t>
      </w:r>
    </w:p>
    <w:p>
      <w:pPr>
        <w:widowControl/>
        <w:numPr>
          <w:ilvl w:val="0"/>
          <w:numId w:val="0"/>
        </w:numPr>
        <w:ind w:leftChars="0"/>
        <w:jc w:val="left"/>
        <w:outlineLvl w:val="2"/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输入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第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二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条件会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看到以下页面</w:t>
      </w:r>
    </w:p>
    <w:p>
      <w:pPr>
        <w:widowControl/>
        <w:numPr>
          <w:ilvl w:val="0"/>
          <w:numId w:val="0"/>
        </w:numPr>
        <w:ind w:left="210" w:leftChars="0" w:hanging="210" w:hangingChars="100"/>
        <w:jc w:val="left"/>
      </w:pPr>
      <w:r>
        <w:drawing>
          <wp:inline distT="0" distB="0" distL="114300" distR="114300">
            <wp:extent cx="5273675" cy="5883910"/>
            <wp:effectExtent l="0" t="0" r="14605" b="1397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二、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 xml:space="preserve">①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可以看到这10家公司连续5年的平均净利润现金含量都大于100%，这个指标全部合格。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center"/>
      </w:pPr>
    </w:p>
    <w:p>
      <w:pPr>
        <w:widowControl/>
        <w:numPr>
          <w:ilvl w:val="0"/>
          <w:numId w:val="0"/>
        </w:numPr>
        <w:ind w:left="0" w:leftChars="0" w:firstLine="0" w:firstLineChars="0"/>
        <w:jc w:val="center"/>
      </w:pPr>
      <w:r>
        <w:drawing>
          <wp:inline distT="0" distB="0" distL="114300" distR="114300">
            <wp:extent cx="5272405" cy="269748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[1]代表2019年的经营活动产生的现金流量净额；[2]代表2019年年度的净利润；其中[1]/[2]代表2019年度的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净利润现金含量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，其余比值以此类推。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连续5年的年区间分红总额除以净利润小于25%的，淘汰，互联网、高科技公司除外。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含有“互联网”“软件”、“互动媒体”、“信息技术”字眼的判定为互联网高科技公司。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"http://stockpage.10jqka.com.cn/ILMN/"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Illumina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和</w:t>
      </w:r>
      <w:r>
        <w:rPr>
          <w:rFonts w:hint="default" w:ascii="微软雅黑" w:hAnsi="微软雅黑" w:eastAsia="微软雅黑" w:cs="微软雅黑"/>
          <w:lang w:val="en-US" w:eastAsia="zh-CN"/>
        </w:rPr>
        <w:t>再生元制药</w:t>
      </w:r>
      <w:r>
        <w:rPr>
          <w:rFonts w:hint="eastAsia" w:ascii="微软雅黑" w:hAnsi="微软雅黑" w:eastAsia="微软雅黑" w:cs="微软雅黑"/>
          <w:lang w:val="en-US" w:eastAsia="zh-CN"/>
        </w:rPr>
        <w:t>，不分红，淘汰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"http://stockpage.10jqka.com.cn/V/"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Visa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、英伟达和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"http://stockpage.10jqka.com.cn/ASML/"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阿斯麦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5年间个别年份分红比例小于25%，淘汰。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备注：VISA主要是银行交易处理服务，属于金融行业。</w:t>
      </w:r>
      <w:bookmarkStart w:id="0" w:name="_GoBack"/>
      <w:bookmarkEnd w:id="0"/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奥多比和脸谱网，也就是Adobe 和Facebook，属于高科技和互联网公司，不淘汰。</w:t>
      </w:r>
    </w:p>
    <w:p>
      <w:pPr>
        <w:widowControl/>
        <w:numPr>
          <w:ilvl w:val="0"/>
          <w:numId w:val="0"/>
        </w:numPr>
        <w:ind w:leftChars="0"/>
        <w:jc w:val="left"/>
      </w:pPr>
      <w:r>
        <w:rPr>
          <w:rFonts w:hint="eastAsia" w:ascii="微软雅黑" w:hAnsi="微软雅黑" w:eastAsia="微软雅黑" w:cs="微软雅黑"/>
          <w:lang w:val="en-US" w:eastAsia="zh-CN"/>
        </w:rPr>
        <w:t>台积电、德州仪器、诺和诺德、、这3家公司每年分红比例都是大于25%的，符合标准。</w:t>
      </w:r>
    </w:p>
    <w:p>
      <w:pPr>
        <w:widowControl/>
        <w:numPr>
          <w:ilvl w:val="0"/>
          <w:numId w:val="0"/>
        </w:numPr>
        <w:ind w:left="-216" w:leftChars="-103" w:firstLine="16" w:firstLineChars="8"/>
        <w:jc w:val="center"/>
      </w:pPr>
      <w:r>
        <w:drawing>
          <wp:inline distT="0" distB="0" distL="114300" distR="114300">
            <wp:extent cx="5269865" cy="2338705"/>
            <wp:effectExtent l="0" t="0" r="3175" b="825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[11]代表2019年的分红总额；[2]代表2019年年度的净利润；其中[11]/[2]代表2019年度的分红比率，其余比值以此类推</w:t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第四步、记录好公司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把选出美股好公司的重要过程进行截图，并记录在作业中。</w:t>
      </w:r>
    </w:p>
    <w:p>
      <w:pPr>
        <w:numPr>
          <w:ilvl w:val="0"/>
          <w:numId w:val="0"/>
        </w:numPr>
        <w:ind w:leftChars="0"/>
        <w:jc w:val="both"/>
        <w:outlineLvl w:val="0"/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二、计算好价格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进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股票的条件：</w:t>
      </w:r>
    </w:p>
    <w:p>
      <w:pPr>
        <w:widowControl/>
        <w:numPr>
          <w:ilvl w:val="0"/>
          <w:numId w:val="4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当美联储利率小于4%时，标普500指数的市盈率小于15且好公司的TTM市盈率小于15且好公司的动态股息率大于美国10年期国债收益率；</w:t>
      </w:r>
    </w:p>
    <w:p>
      <w:pPr>
        <w:widowControl/>
        <w:numPr>
          <w:ilvl w:val="0"/>
          <w:numId w:val="4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当美联储利率大于4%时，标普500指数的市盈率小于10且好公司的TTM市盈率小于15且好公司的动态股息率大于美国10年期国债收益率。</w:t>
      </w:r>
    </w:p>
    <w:p>
      <w:pPr>
        <w:widowControl/>
        <w:numPr>
          <w:ilvl w:val="0"/>
          <w:numId w:val="4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标普500指数跌幅大于50%且好公司的TTM市盈率小于15且好公司的动态股息率大于美国10年期国债收益率。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当以上三个条件符合一个时，我们就可以买进股票了。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>① 美联储利率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drawing>
          <wp:inline distT="0" distB="0" distL="114300" distR="114300">
            <wp:extent cx="5267325" cy="1230630"/>
            <wp:effectExtent l="0" t="0" r="5715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美联储利率查询：</w:t>
      </w:r>
    </w:p>
    <w:p>
      <w:pP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instrText xml:space="preserve"> HYPERLINK "https://cn.investing.com/economic-calendar/interest-rate-decision-168" </w:instrText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t>https://cn.investing.com/economic-calendar/interest-rate-decision-168</w:t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7960" cy="1313815"/>
            <wp:effectExtent l="0" t="0" r="5080" b="1206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上图中美联储现行利率为0.25%，小于4%，因此标普500合理市盈率区间为15-25倍。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  <w:t>美股标普500指数的市盈率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【乐股网】标普500市盈率网址：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"https://www.legulegu.com/stockdata/market/sandp"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https://www.legulegu.com/stockdata/market/sandp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此网址虽然与视频中不一致，但是数据刷新的速度更加流畅和快捷，本周作业使用此网址数据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。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67325" cy="3003550"/>
            <wp:effectExtent l="0" t="0" r="5715" b="13970"/>
            <wp:docPr id="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上图中标普500指数的市盈率为27.64倍，大于15倍。当标普500指数的市盈率暂不符合投资标准时，我们可以通过计算个股的好价格，判断其是否具有投资价值。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 xml:space="preserve">③ </w:t>
      </w: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  <w:t>美股标普500指数的跌幅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553720"/>
            <wp:effectExtent l="0" t="0" r="14605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3707765</wp:posOffset>
                </wp:positionH>
                <wp:positionV relativeFrom="paragraph">
                  <wp:posOffset>95885</wp:posOffset>
                </wp:positionV>
                <wp:extent cx="218440" cy="203835"/>
                <wp:effectExtent l="6350" t="15240" r="19050" b="24765"/>
                <wp:wrapNone/>
                <wp:docPr id="21" name="右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91.95pt;margin-top:7.55pt;height:16.05pt;width:17.2pt;z-index:251661312;v-text-anchor:middle;mso-width-relative:page;mso-height-relative:page;" fillcolor="#FFC000 [3207]" filled="t" stroked="t" coordsize="21600,21600" o:gfxdata="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1JBit9wAAAAJAQAADwAAAAAAAAABACAAAAAiAAAA&#10;ZHJzL2Rvd25yZXYueG1sUEsBAhQAFAAAAAgAh07iQCOnLLd1AgAA3AQAAA4AAAAAAAAAAQAgAAAA&#10;KwEAAGRycy9lMm9Eb2MueG1sUEsFBgAAAAAGAAYAWQEAABI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2115185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17" name="右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66.55pt;margin-top:8.75pt;height:16.05pt;width:17.2pt;z-index:251659264;v-text-anchor:middle;mso-width-relative:page;mso-height-relative:page;" fillcolor="#FFC000 [3207]" filled="t" stroked="t" coordsize="21600,21600" o:gfxdata="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EC6sHaAAAACQEAAA8AAAAAAAAAAQAgAAAAIgAAAGRy&#10;cy9kb3ducmV2LnhtbFBLAQIUABQAAAAIAIdO4kAvXZae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16" name="右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75.95pt;margin-top:8.15pt;height:16.05pt;width:17.2pt;z-index:251658240;v-text-anchor:middle;mso-width-relative:page;mso-height-relative:page;" fillcolor="#FFC000 [3207]" filled="t" stroked="t" coordsize="21600,21600" o:gfxdata="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fXbCfNkAAAAJAQAADwAAAAAA&#10;AAABACAAAAAiAAAAZHJzL2Rvd25yZXYueG1sUEsBAhQAFAAAAAgAh07iQNSF1xuEAgAA6AQAAA4A&#10;AAAAAAAAAQAgAAAAKAEAAGRycy9lMm9Eb2MueG1sUEsFBgAAAAAGAAYAWQEAAB4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打开雪球网址    ①点“行情”   ②点击“行情中心”   ③点击“美股”</w:t>
      </w:r>
    </w:p>
    <w:p>
      <w:r>
        <w:drawing>
          <wp:inline distT="0" distB="0" distL="114300" distR="114300">
            <wp:extent cx="5268595" cy="2184400"/>
            <wp:effectExtent l="0" t="0" r="444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sz w:val="24"/>
        </w:rPr>
        <w:t>④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点击“标普500指数”</w:t>
      </w:r>
    </w:p>
    <w:p>
      <w:r>
        <w:drawing>
          <wp:inline distT="0" distB="0" distL="114300" distR="114300">
            <wp:extent cx="5268595" cy="2095500"/>
            <wp:effectExtent l="0" t="0" r="444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3905885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30" name="右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07.55pt;margin-top:8.15pt;height:16.05pt;width:17.2pt;z-index:251706368;v-text-anchor:middle;mso-width-relative:page;mso-height-relative:page;" fillcolor="#FFC000 [3207]" filled="t" stroked="t" coordsize="21600,21600" o:gfxdata="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fDh8N2wAAAAkBAAAPAAAAAAAAAAEAIAAAACIAAABk&#10;cnMvZG93bnJldi54bWxQSwECFAAUAAAACACHTuJAfHbAKHUCAADcBAAADgAAAAAAAAABACAAAAAq&#10;AQAAZHJzL2Uyb0RvYy54bWxQSwUGAAAAAAYABgBZAQAAEQ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2572385</wp:posOffset>
                </wp:positionH>
                <wp:positionV relativeFrom="paragraph">
                  <wp:posOffset>126365</wp:posOffset>
                </wp:positionV>
                <wp:extent cx="218440" cy="203835"/>
                <wp:effectExtent l="6350" t="15240" r="19050" b="24765"/>
                <wp:wrapNone/>
                <wp:docPr id="28" name="右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02.55pt;margin-top:9.95pt;height:16.05pt;width:17.2pt;z-index:251681792;v-text-anchor:middle;mso-width-relative:page;mso-height-relative:page;" fillcolor="#FFC000 [3207]" filled="t" stroked="t" coordsize="21600,21600" o:gfxdata="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24gGLaAAAACQEAAA8AAAAAAAAAAQAgAAAAIgAAAGRy&#10;cy9kb3ducmV2LnhtbFBLAQIUABQAAAAIAIdO4kAgP6uV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118745</wp:posOffset>
                </wp:positionV>
                <wp:extent cx="218440" cy="203835"/>
                <wp:effectExtent l="6350" t="15240" r="19050" b="24765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86.75pt;margin-top:9.35pt;height:16.05pt;width:17.2pt;z-index:251669504;v-text-anchor:middle;mso-width-relative:page;mso-height-relative:page;" fillcolor="#FFC000 [3207]" filled="t" stroked="t" coordsize="21600,21600" o:gfxdata="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JYAMnvaAAAACQEAAA8AAAAAAAAAAQAgAAAAIgAAAGRy&#10;cy9kb3ducmV2LnhtbFBLAQIUABQAAAAIAIdO4kB4IFYw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⑤点击“周K”   ⑥选择“不复权”   ⑦查看最高点位    ⑧查看现在点位</w:t>
      </w:r>
    </w:p>
    <w:p>
      <w:r>
        <w:drawing>
          <wp:inline distT="0" distB="0" distL="114300" distR="114300">
            <wp:extent cx="5273675" cy="3228340"/>
            <wp:effectExtent l="0" t="0" r="14605" b="254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计算涨跌幅=（现在的点位-最高的点位）÷最高的点位=（3215.63-3393.52）÷3393.52=-5.24%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标普500的跌幅小于50%，当标普500跌幅不符合投资标准时，我们可以通过计算个股的好价格，判断其是否具有投资价值。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2"/>
          <w:lang w:val="en-US" w:eastAsia="zh-CN"/>
        </w:rPr>
        <w:t>④ 好价格计算公式：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4310" cy="627380"/>
            <wp:effectExtent l="0" t="0" r="13970" b="1270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中国投资者投资美股，股息收入需缴纳10%的红利税，所以实际到手股息为TTM股息×90%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我们以诺和诺德为例，计算它的好价格。</w:t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第一步：查询诺和诺德的股价、TTM市盈率、TTM股息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个股</w:t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查询网址【雪球】：</w:t>
      </w:r>
      <w:r>
        <w:rPr>
          <w:rStyle w:val="10"/>
          <w:rFonts w:hint="eastAsia" w:ascii="微软雅黑" w:hAnsi="微软雅黑" w:eastAsia="微软雅黑" w:cs="微软雅黑"/>
          <w:i w:val="0"/>
          <w:color w:val="0000FF"/>
          <w:sz w:val="21"/>
          <w:szCs w:val="21"/>
          <w:u w:val="single"/>
        </w:rPr>
        <w:t>https://xueqiu.com/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1135" cy="1418590"/>
            <wp:effectExtent l="0" t="0" r="1905" b="1397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046605"/>
            <wp:effectExtent l="0" t="0" r="3175" b="1079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微软雅黑" w:hAnsi="微软雅黑" w:eastAsia="微软雅黑" w:cs="微软雅黑"/>
          <w:i w:val="0"/>
          <w:color w:val="auto"/>
          <w:kern w:val="0"/>
          <w:sz w:val="21"/>
          <w:szCs w:val="21"/>
          <w:u w:val="singl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美国十年期国债收益率【英为财情】：</w:t>
      </w:r>
    </w:p>
    <w:p>
      <w:pPr>
        <w:numPr>
          <w:ilvl w:val="0"/>
          <w:numId w:val="0"/>
        </w:numPr>
        <w:ind w:leftChars="0" w:firstLine="420"/>
        <w:jc w:val="both"/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"https://cn.investing.com/rates-bonds/u.s.-10-year-bond-yield"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https://cn.investing.com/rates-bonds/u.s.-10-year-bond-yield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168900" cy="1511935"/>
            <wp:effectExtent l="0" t="0" r="12700" b="1206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备注：0.617%=0.00617</w:t>
      </w:r>
    </w:p>
    <w:p>
      <w:pP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第三步：计算诺和诺德的好价格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 = 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）=15×（66.88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÷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25.91）=38.72</w:t>
      </w:r>
    </w:p>
    <w:p>
      <w:pPr>
        <w:widowControl/>
        <w:numPr>
          <w:ilvl w:val="0"/>
          <w:numId w:val="0"/>
        </w:numPr>
        <w:ind w:leftChars="0" w:right="-1153" w:rightChars="-549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股息率法好价格 =TTM股息÷美国十年期国债收益率=0.88×90%÷0.617%=128.36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最终的好价格为两者的最小值38.72美元。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上图中诺和诺德股价为66.88美元，远高于计算的好价格。还需要研究财务报表和企业分析，做进一步的判断。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好价格的解析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>好价格的公式推导过程</w:t>
      </w:r>
    </w:p>
    <w:p>
      <w:pPr>
        <w:widowControl/>
        <w:numPr>
          <w:ilvl w:val="0"/>
          <w:numId w:val="0"/>
        </w:numPr>
        <w:jc w:val="left"/>
        <w:outlineLvl w:val="0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1、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推导过程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根据买入条件1，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深证A股的市盈率小于20且好公司的TTM市盈率小于15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因此，当目标公司股票的TTM市盈率＝15时，目标公司的价格达到好价格的临界值。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市盈率法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</w:rPr>
        <w:t>好价格 =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）怎么推导出来的呢？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备注：这里15其实代表的是好价格对应的市盈率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857750" cy="1367790"/>
            <wp:effectExtent l="0" t="0" r="3810" b="381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将15和每股收益公式代入股价的公式，可以得到：</w:t>
      </w:r>
    </w:p>
    <w:p>
      <w:pP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 xml:space="preserve">市盈率法好价格 = 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15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）</w:t>
      </w:r>
    </w:p>
    <w:p>
      <w:pPr>
        <w:widowControl/>
        <w:numPr>
          <w:ilvl w:val="0"/>
          <w:numId w:val="0"/>
        </w:numPr>
        <w:jc w:val="left"/>
        <w:outlineLvl w:val="0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2、股息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推导过程</w:t>
      </w:r>
    </w:p>
    <w:p>
      <w:pP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根据买入条件2，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动态股息率大于10年期国债收益率。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当目标公司股票的TTM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股息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率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highlight w:val="none"/>
          <w:lang w:val="en-US" w:eastAsia="zh-CN"/>
        </w:rPr>
        <w:t xml:space="preserve">＝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十年期国债收益率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时，目标公司的价格达到好价格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的临界值。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备注：这里TTM股息率是动态股息率的一种。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drawing>
          <wp:inline distT="0" distB="0" distL="114300" distR="114300">
            <wp:extent cx="5269230" cy="1635125"/>
            <wp:effectExtent l="0" t="0" r="3810" b="1079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  <w:t>好了，本次案例分析提示就到此结束啦，剩下的就交给你们啦！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美股和港股的学习加深了我们对股票投资的理解，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  <w:t>希望每位同学都能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掌握好三大核心工具之一的股票投资技能，能加速实现财务自由！</w:t>
      </w:r>
    </w:p>
    <w:p>
      <w:pPr>
        <w:pStyle w:val="5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outlineLvl w:val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第五周作业你学到的重点知识</w:t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  <w:outlineLvl w:val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海选和精挑细选港股、美股好公司</w:t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  <w:outlineLvl w:val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计算好价格</w:t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  <w:outlineLvl w:val="0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温习好价格的推导公式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苹方-港">
    <w:altName w:val="MingLiU-ExtB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4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2ECDA5B"/>
    <w:multiLevelType w:val="singleLevel"/>
    <w:tmpl w:val="E2ECDA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498F7CF9"/>
    <w:multiLevelType w:val="singleLevel"/>
    <w:tmpl w:val="498F7CF9"/>
    <w:lvl w:ilvl="0" w:tentative="0">
      <w:start w:val="1"/>
      <w:numFmt w:val="decimal"/>
      <w:suff w:val="space"/>
      <w:lvlText w:val="%1、"/>
      <w:lvlJc w:val="left"/>
    </w:lvl>
  </w:abstractNum>
  <w:abstractNum w:abstractNumId="4">
    <w:nsid w:val="57C2920B"/>
    <w:multiLevelType w:val="singleLevel"/>
    <w:tmpl w:val="57C2920B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3A2993"/>
    <w:rsid w:val="041F3491"/>
    <w:rsid w:val="056C4391"/>
    <w:rsid w:val="093B4F44"/>
    <w:rsid w:val="0A743C49"/>
    <w:rsid w:val="0ABD48E1"/>
    <w:rsid w:val="11ED1EB0"/>
    <w:rsid w:val="12037E49"/>
    <w:rsid w:val="13856A8A"/>
    <w:rsid w:val="155C2EC5"/>
    <w:rsid w:val="15D13FB2"/>
    <w:rsid w:val="1636131F"/>
    <w:rsid w:val="16BD7ABB"/>
    <w:rsid w:val="16F4727F"/>
    <w:rsid w:val="16F86EC4"/>
    <w:rsid w:val="172A2CA1"/>
    <w:rsid w:val="180D0BE7"/>
    <w:rsid w:val="19825E1B"/>
    <w:rsid w:val="1A1610EB"/>
    <w:rsid w:val="1A4F63AE"/>
    <w:rsid w:val="1C1B6DEE"/>
    <w:rsid w:val="1CD938E5"/>
    <w:rsid w:val="1F3532AB"/>
    <w:rsid w:val="1F545AD1"/>
    <w:rsid w:val="1F814F3A"/>
    <w:rsid w:val="1FCF2F65"/>
    <w:rsid w:val="250E70AC"/>
    <w:rsid w:val="25101FFD"/>
    <w:rsid w:val="264300B5"/>
    <w:rsid w:val="27424348"/>
    <w:rsid w:val="29AB028F"/>
    <w:rsid w:val="2A1141CB"/>
    <w:rsid w:val="2BEB3D09"/>
    <w:rsid w:val="2CC961DA"/>
    <w:rsid w:val="2D846991"/>
    <w:rsid w:val="2F405D10"/>
    <w:rsid w:val="2FD32417"/>
    <w:rsid w:val="3013004B"/>
    <w:rsid w:val="30684940"/>
    <w:rsid w:val="329218F4"/>
    <w:rsid w:val="35A94658"/>
    <w:rsid w:val="370F2715"/>
    <w:rsid w:val="380F6042"/>
    <w:rsid w:val="38281B48"/>
    <w:rsid w:val="387C33C3"/>
    <w:rsid w:val="3B626A7F"/>
    <w:rsid w:val="3BFA095D"/>
    <w:rsid w:val="3EAF7E27"/>
    <w:rsid w:val="41C83F21"/>
    <w:rsid w:val="43840494"/>
    <w:rsid w:val="43B77BDB"/>
    <w:rsid w:val="44A96D2C"/>
    <w:rsid w:val="44F21B5E"/>
    <w:rsid w:val="453B0473"/>
    <w:rsid w:val="45E75206"/>
    <w:rsid w:val="46616319"/>
    <w:rsid w:val="46EC3FEA"/>
    <w:rsid w:val="47ED7FC6"/>
    <w:rsid w:val="49F43451"/>
    <w:rsid w:val="4A924F18"/>
    <w:rsid w:val="4C2F7778"/>
    <w:rsid w:val="4E6B7858"/>
    <w:rsid w:val="4FFB5B55"/>
    <w:rsid w:val="50AF6143"/>
    <w:rsid w:val="55493E53"/>
    <w:rsid w:val="55CB70FD"/>
    <w:rsid w:val="55ED6572"/>
    <w:rsid w:val="56970AE2"/>
    <w:rsid w:val="57B870B0"/>
    <w:rsid w:val="591B20C5"/>
    <w:rsid w:val="5A060DC3"/>
    <w:rsid w:val="5A29519D"/>
    <w:rsid w:val="5B3F28F2"/>
    <w:rsid w:val="5E6E6898"/>
    <w:rsid w:val="605DED8A"/>
    <w:rsid w:val="637B035D"/>
    <w:rsid w:val="66C416A4"/>
    <w:rsid w:val="67F93A31"/>
    <w:rsid w:val="699A5909"/>
    <w:rsid w:val="6B3274AD"/>
    <w:rsid w:val="6D5215C5"/>
    <w:rsid w:val="6DF35EC2"/>
    <w:rsid w:val="6E6630BA"/>
    <w:rsid w:val="6E6B7477"/>
    <w:rsid w:val="6FE07617"/>
    <w:rsid w:val="70D05AB8"/>
    <w:rsid w:val="71BF7875"/>
    <w:rsid w:val="74402516"/>
    <w:rsid w:val="74917F85"/>
    <w:rsid w:val="781328BE"/>
    <w:rsid w:val="788C7239"/>
    <w:rsid w:val="78916335"/>
    <w:rsid w:val="79593EAF"/>
    <w:rsid w:val="79D860A9"/>
    <w:rsid w:val="7A94780D"/>
    <w:rsid w:val="7BBC5F40"/>
    <w:rsid w:val="7E4F1514"/>
    <w:rsid w:val="7F2129E0"/>
    <w:rsid w:val="7F7A1471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beforeLines="0" w:beforeAutospacing="0" w:after="240" w:afterLines="0" w:afterAutospacing="0" w:line="240" w:lineRule="exact"/>
      <w:jc w:val="center"/>
      <w:outlineLvl w:val="0"/>
    </w:pPr>
    <w:rPr>
      <w:rFonts w:eastAsia="微软雅黑" w:asciiTheme="minorAscii" w:hAnsiTheme="minorAscii"/>
      <w:b/>
      <w:kern w:val="44"/>
      <w:sz w:val="36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unhideWhenUsed/>
    <w:qFormat/>
    <w:uiPriority w:val="99"/>
    <w:rPr>
      <w:color w:val="800080"/>
      <w:u w:val="single"/>
    </w:rPr>
  </w:style>
  <w:style w:type="character" w:styleId="9">
    <w:name w:val="Emphasis"/>
    <w:basedOn w:val="7"/>
    <w:qFormat/>
    <w:uiPriority w:val="20"/>
    <w:rPr>
      <w:color w:val="CC0000"/>
    </w:rPr>
  </w:style>
  <w:style w:type="character" w:styleId="10">
    <w:name w:val="Hyperlink"/>
    <w:basedOn w:val="7"/>
    <w:semiHidden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2020-09-28T09:22:14Z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