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sz w:val="32"/>
          <w:szCs w:val="32"/>
        </w:rPr>
      </w:pPr>
      <w:r>
        <w:rPr>
          <w:sz w:val="32"/>
          <w:szCs w:val="32"/>
        </w:rPr>
        <w:t>FE630 Portfolio Theory and Applications</w:t>
      </w:r>
    </w:p>
    <w:p>
      <w:pPr>
        <w:pStyle w:val="4"/>
        <w:rPr>
          <w:sz w:val="28"/>
          <w:szCs w:val="28"/>
        </w:rPr>
      </w:pPr>
      <w:r>
        <w:rPr>
          <w:sz w:val="32"/>
          <w:szCs w:val="32"/>
        </w:rPr>
        <w:t>Final Project</w:t>
      </w:r>
      <w:bookmarkStart w:id="0" w:name="_GoBack"/>
      <w:bookmarkEnd w:id="0"/>
    </w:p>
    <w:p>
      <w:pPr>
        <w:jc w:val="center"/>
        <w:rPr>
          <w:rFonts w:hint="eastAsia"/>
          <w:sz w:val="28"/>
          <w:szCs w:val="28"/>
          <w:lang w:val="en-US" w:eastAsia="zh-CN"/>
        </w:rPr>
      </w:pPr>
      <w:r>
        <w:rPr>
          <w:sz w:val="28"/>
          <w:szCs w:val="28"/>
        </w:rPr>
        <w:t>(Xinhang Wang &amp; Qi Yuan)</w:t>
      </w:r>
    </w:p>
    <w:p>
      <w:pPr>
        <w:jc w:val="center"/>
        <w:rPr>
          <w:rFonts w:hint="eastAsia" w:eastAsia="宋体"/>
          <w:sz w:val="28"/>
          <w:szCs w:val="28"/>
          <w:lang w:val="en-US" w:eastAsia="zh-CN"/>
        </w:rPr>
      </w:pPr>
      <w:r>
        <w:rPr>
          <w:rFonts w:hint="eastAsia"/>
          <w:sz w:val="28"/>
          <w:szCs w:val="28"/>
          <w:lang w:val="en-US" w:eastAsia="zh-CN"/>
        </w:rPr>
        <w:t>December 16, 2018</w:t>
      </w:r>
    </w:p>
    <w:p>
      <w:pPr>
        <w:pStyle w:val="2"/>
        <w:rPr>
          <w:sz w:val="24"/>
          <w:szCs w:val="24"/>
        </w:rPr>
      </w:pPr>
      <w:r>
        <w:rPr>
          <w:sz w:val="30"/>
          <w:szCs w:val="30"/>
        </w:rPr>
        <w:t>1.Introduction</w:t>
      </w:r>
    </w:p>
    <w:p/>
    <w:p>
      <w:pPr>
        <w:rPr>
          <w:sz w:val="21"/>
        </w:rPr>
      </w:pPr>
      <w:r>
        <w:rPr>
          <w:sz w:val="24"/>
          <w:szCs w:val="24"/>
        </w:rPr>
        <w:t>This project aims to build a factor-based model Long/Short Global Macro Strategy with portfolio, which would maximize the returns with a fixed target Beta or minimize variance with a target return. So, we can understand the behaviors of these strategies during a historical period.</w:t>
      </w:r>
    </w:p>
    <w:p/>
    <w:p>
      <w:r>
        <w:rPr>
          <w:sz w:val="24"/>
          <w:szCs w:val="24"/>
        </w:rPr>
        <w:t>The factor model is based on French-Fama-Three-Factor Model to get securities expected returns and the coefficients can be computed by a regression on the factors using a large set of historical data.</w:t>
      </w:r>
      <w:r>
        <w:rPr>
          <w:rFonts w:hint="eastAsia"/>
          <w:sz w:val="24"/>
          <w:szCs w:val="24"/>
          <w:lang w:val="en-US" w:eastAsia="zh-CN"/>
        </w:rPr>
        <w:t xml:space="preserve"> </w:t>
      </w:r>
      <w:r>
        <w:rPr>
          <w:sz w:val="24"/>
          <w:szCs w:val="24"/>
        </w:rPr>
        <w:t>Based on real securities data, the portfolio return can be tested by using 2 models: Max Return Model (Time Series Model), and Min Variance with 15% Target Return. After that, basic statistics value of portfolio would be given to analyze the performance of portfolio.</w:t>
      </w:r>
    </w:p>
    <w:p>
      <w:pPr>
        <w:rPr>
          <w:sz w:val="21"/>
        </w:rPr>
      </w:pPr>
    </w:p>
    <w:p>
      <w:pPr>
        <w:pStyle w:val="2"/>
        <w:rPr>
          <w:rFonts w:eastAsia="宋体"/>
          <w:kern w:val="2"/>
          <w:sz w:val="30"/>
          <w:szCs w:val="30"/>
        </w:rPr>
      </w:pPr>
      <w:r>
        <w:rPr>
          <w:sz w:val="30"/>
          <w:szCs w:val="30"/>
        </w:rPr>
        <w:t>2.Data Description</w:t>
      </w:r>
    </w:p>
    <w:p>
      <w:pPr>
        <w:rPr>
          <w:sz w:val="24"/>
          <w:szCs w:val="24"/>
        </w:rPr>
      </w:pPr>
    </w:p>
    <w:p>
      <w:r>
        <w:rPr>
          <w:sz w:val="24"/>
          <w:szCs w:val="24"/>
        </w:rPr>
        <w:t>Here we consider totally 13 ETFs, and we select S&amp;P 500 as our benchmark.</w:t>
      </w:r>
    </w:p>
    <w:p/>
    <w:p>
      <w:r>
        <w:drawing>
          <wp:inline distT="0" distB="0" distL="0" distR="0">
            <wp:extent cx="5269230" cy="3657600"/>
            <wp:effectExtent l="0" t="0" r="7620" b="0"/>
            <wp:docPr id="33" name="图片 33"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p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69230" cy="3657600"/>
                    </a:xfrm>
                    <a:prstGeom prst="rect">
                      <a:avLst/>
                    </a:prstGeom>
                    <a:noFill/>
                    <a:ln>
                      <a:noFill/>
                    </a:ln>
                  </pic:spPr>
                </pic:pic>
              </a:graphicData>
            </a:graphic>
          </wp:inline>
        </w:drawing>
      </w:r>
    </w:p>
    <w:p>
      <w:pPr>
        <w:jc w:val="center"/>
      </w:pPr>
      <w:r>
        <w:rPr>
          <w:sz w:val="24"/>
          <w:szCs w:val="24"/>
        </w:rPr>
        <w:t>T</w:t>
      </w:r>
      <w:r>
        <w:rPr>
          <w:rFonts w:hint="eastAsia"/>
          <w:sz w:val="24"/>
          <w:szCs w:val="24"/>
        </w:rPr>
        <w:t>able</w:t>
      </w:r>
      <w:r>
        <w:rPr>
          <w:sz w:val="24"/>
          <w:szCs w:val="24"/>
        </w:rPr>
        <w:t xml:space="preserve"> 1   </w:t>
      </w:r>
      <w:r>
        <w:rPr>
          <w:rFonts w:hint="eastAsia"/>
          <w:sz w:val="24"/>
          <w:szCs w:val="24"/>
        </w:rPr>
        <w:t>ETFs data</w:t>
      </w:r>
    </w:p>
    <w:p>
      <w:pPr>
        <w:rPr>
          <w:sz w:val="24"/>
        </w:rPr>
      </w:pPr>
    </w:p>
    <w:p>
      <w:pPr>
        <w:rPr>
          <w:sz w:val="24"/>
          <w:szCs w:val="24"/>
        </w:rPr>
      </w:pPr>
      <w:r>
        <w:rPr>
          <w:sz w:val="24"/>
          <w:szCs w:val="24"/>
        </w:rPr>
        <w:t xml:space="preserve">Table 1 is a screenshot of ETFs data downloaded from Yahoo Finance. </w:t>
      </w:r>
      <w:r>
        <w:rPr>
          <w:rFonts w:hint="eastAsia"/>
          <w:sz w:val="24"/>
          <w:szCs w:val="24"/>
          <w:lang w:val="en-US" w:eastAsia="zh-CN"/>
        </w:rPr>
        <w:t xml:space="preserve">Because part of data are not available during 2008, so we choose the period from 03/23/2007 to 07/24/2017. </w:t>
      </w:r>
      <w:r>
        <w:rPr>
          <w:sz w:val="24"/>
          <w:szCs w:val="24"/>
        </w:rPr>
        <w:t xml:space="preserve">The whole period would be divided into 3 different parts: </w:t>
      </w:r>
    </w:p>
    <w:p>
      <w:pPr>
        <w:numPr>
          <w:ilvl w:val="0"/>
          <w:numId w:val="1"/>
        </w:numPr>
        <w:ind w:left="360" w:leftChars="0"/>
        <w:rPr>
          <w:sz w:val="24"/>
          <w:szCs w:val="24"/>
        </w:rPr>
      </w:pPr>
      <w:r>
        <w:rPr>
          <w:sz w:val="24"/>
          <w:szCs w:val="24"/>
        </w:rPr>
        <w:t>Before the crisis: 03/23/2007-03/10/2008</w:t>
      </w:r>
    </w:p>
    <w:p>
      <w:pPr>
        <w:numPr>
          <w:ilvl w:val="0"/>
          <w:numId w:val="1"/>
        </w:numPr>
        <w:ind w:left="360" w:leftChars="0" w:firstLine="0" w:firstLineChars="0"/>
        <w:rPr>
          <w:sz w:val="24"/>
          <w:szCs w:val="24"/>
        </w:rPr>
      </w:pPr>
      <w:r>
        <w:rPr>
          <w:sz w:val="24"/>
          <w:szCs w:val="24"/>
        </w:rPr>
        <w:t>During the crisis: 03/11/2008-06/30/2009</w:t>
      </w:r>
    </w:p>
    <w:p>
      <w:pPr>
        <w:numPr>
          <w:ilvl w:val="0"/>
          <w:numId w:val="1"/>
        </w:numPr>
        <w:ind w:left="360" w:leftChars="0" w:firstLine="0" w:firstLineChars="0"/>
        <w:rPr>
          <w:sz w:val="24"/>
          <w:szCs w:val="24"/>
        </w:rPr>
      </w:pPr>
      <w:r>
        <w:rPr>
          <w:sz w:val="24"/>
          <w:szCs w:val="24"/>
        </w:rPr>
        <w:t>After the crisis: 07/01/2009-</w:t>
      </w:r>
      <w:r>
        <w:rPr>
          <w:rFonts w:hint="eastAsia"/>
          <w:sz w:val="24"/>
          <w:szCs w:val="24"/>
        </w:rPr>
        <w:t>07</w:t>
      </w:r>
      <w:r>
        <w:rPr>
          <w:sz w:val="24"/>
          <w:szCs w:val="24"/>
        </w:rPr>
        <w:t>/</w:t>
      </w:r>
      <w:r>
        <w:rPr>
          <w:rFonts w:hint="eastAsia"/>
          <w:sz w:val="24"/>
          <w:szCs w:val="24"/>
        </w:rPr>
        <w:t>24</w:t>
      </w:r>
      <w:r>
        <w:rPr>
          <w:sz w:val="24"/>
          <w:szCs w:val="24"/>
        </w:rPr>
        <w:t>/201</w:t>
      </w:r>
      <w:r>
        <w:rPr>
          <w:rFonts w:hint="eastAsia"/>
          <w:sz w:val="24"/>
          <w:szCs w:val="24"/>
        </w:rPr>
        <w:t>7</w:t>
      </w:r>
    </w:p>
    <w:p>
      <w:pPr>
        <w:rPr>
          <w:sz w:val="24"/>
          <w:szCs w:val="24"/>
        </w:rPr>
      </w:pPr>
    </w:p>
    <w:p>
      <w:r>
        <w:rPr>
          <w:sz w:val="24"/>
          <w:szCs w:val="24"/>
        </w:rPr>
        <w:t>Also, the different estimator: Short Term (</w:t>
      </w:r>
      <w:r>
        <w:rPr>
          <w:rFonts w:hint="eastAsia"/>
          <w:sz w:val="24"/>
          <w:szCs w:val="24"/>
          <w:lang w:val="en-US" w:eastAsia="zh-CN"/>
        </w:rPr>
        <w:t>1</w:t>
      </w:r>
      <w:r>
        <w:rPr>
          <w:sz w:val="24"/>
          <w:szCs w:val="24"/>
        </w:rPr>
        <w:t>0 days), Middle Term (</w:t>
      </w:r>
      <w:r>
        <w:rPr>
          <w:rFonts w:hint="eastAsia"/>
          <w:sz w:val="24"/>
          <w:szCs w:val="24"/>
          <w:lang w:val="en-US" w:eastAsia="zh-CN"/>
        </w:rPr>
        <w:t>75</w:t>
      </w:r>
      <w:r>
        <w:rPr>
          <w:sz w:val="24"/>
          <w:szCs w:val="24"/>
        </w:rPr>
        <w:t xml:space="preserve"> days), and Long Term (</w:t>
      </w:r>
      <w:r>
        <w:rPr>
          <w:rFonts w:hint="eastAsia"/>
          <w:sz w:val="24"/>
          <w:szCs w:val="24"/>
          <w:lang w:val="en-US" w:eastAsia="zh-CN"/>
        </w:rPr>
        <w:t>150</w:t>
      </w:r>
      <w:r>
        <w:rPr>
          <w:sz w:val="24"/>
          <w:szCs w:val="24"/>
        </w:rPr>
        <w:t xml:space="preserve"> days) would be used to estimate the 3 coefficients of the factor model.</w:t>
      </w:r>
    </w:p>
    <w:p>
      <w:pPr>
        <w:rPr>
          <w:sz w:val="21"/>
        </w:rPr>
      </w:pPr>
    </w:p>
    <w:p>
      <w:pPr>
        <w:pStyle w:val="2"/>
      </w:pPr>
      <w:r>
        <w:rPr>
          <w:sz w:val="30"/>
          <w:szCs w:val="30"/>
        </w:rPr>
        <w:t>3.Estimator Model</w:t>
      </w:r>
    </w:p>
    <w:p>
      <w:pPr>
        <w:pStyle w:val="3"/>
        <w:rPr>
          <w:sz w:val="28"/>
          <w:szCs w:val="28"/>
        </w:rPr>
      </w:pPr>
    </w:p>
    <w:p>
      <w:pPr>
        <w:pStyle w:val="3"/>
      </w:pPr>
      <w:r>
        <w:rPr>
          <w:sz w:val="28"/>
          <w:szCs w:val="28"/>
        </w:rPr>
        <w:t>3.1 The French-Fama -Three- Factor Model</w:t>
      </w:r>
    </w:p>
    <w:p>
      <w:pPr>
        <w:rPr>
          <w:sz w:val="24"/>
          <w:szCs w:val="24"/>
        </w:rPr>
      </w:pPr>
    </w:p>
    <w:p>
      <w:pPr>
        <w:rPr>
          <w:sz w:val="24"/>
          <w:szCs w:val="24"/>
        </w:rPr>
      </w:pPr>
      <w:r>
        <w:rPr>
          <w:sz w:val="24"/>
          <w:szCs w:val="24"/>
        </w:rPr>
        <w:t xml:space="preserve">Our factor model is the French-Fama -3-Factor model and the data are downloaded from </w:t>
      </w:r>
      <w:r>
        <w:rPr>
          <w:sz w:val="24"/>
          <w:szCs w:val="24"/>
        </w:rPr>
        <w:fldChar w:fldCharType="begin"/>
      </w:r>
      <w:r>
        <w:rPr>
          <w:sz w:val="24"/>
          <w:szCs w:val="24"/>
        </w:rPr>
        <w:instrText xml:space="preserve"> HYPERLINK "http://mba.tuck.dartmouth.edu/pages/faculty/ken.french/data_library.html" </w:instrText>
      </w:r>
      <w:r>
        <w:rPr>
          <w:sz w:val="24"/>
          <w:szCs w:val="24"/>
        </w:rPr>
        <w:fldChar w:fldCharType="separate"/>
      </w:r>
      <w:r>
        <w:rPr>
          <w:rStyle w:val="6"/>
          <w:sz w:val="24"/>
          <w:szCs w:val="24"/>
        </w:rPr>
        <w:t>http://mba.tuck.dartmouth.edu/pages/faculty/ken.french/data_library.html</w:t>
      </w:r>
      <w:r>
        <w:rPr>
          <w:rStyle w:val="6"/>
          <w:sz w:val="24"/>
          <w:szCs w:val="24"/>
        </w:rPr>
        <w:fldChar w:fldCharType="end"/>
      </w:r>
      <w:r>
        <w:rPr>
          <w:sz w:val="24"/>
          <w:szCs w:val="24"/>
        </w:rPr>
        <w:t>.</w:t>
      </w:r>
    </w:p>
    <w:p>
      <w:pPr>
        <w:rPr>
          <w:sz w:val="24"/>
          <w:szCs w:val="24"/>
        </w:rPr>
      </w:pPr>
    </w:p>
    <w:p>
      <w:pPr>
        <w:rPr>
          <w:sz w:val="24"/>
          <w:szCs w:val="24"/>
        </w:rPr>
      </w:pPr>
      <w:r>
        <w:rPr>
          <w:sz w:val="24"/>
          <w:szCs w:val="24"/>
        </w:rPr>
        <w:t>The French-Fama -Three- Factor Model is an asset pricing model that expands on the Capital Asset Pricing Model (CAPM) by adding size and value factors to the market risk factor in CAPM. The three factors are market risk, the outperformance of small versus big companies and the outperformance of high book/market versus small book/market companies. In our project, we use this model to estimate the mean return and covariance matrix of the selected securities.</w:t>
      </w:r>
    </w:p>
    <w:p>
      <w:pPr>
        <w:rPr>
          <w:sz w:val="24"/>
          <w:szCs w:val="24"/>
        </w:rPr>
      </w:pPr>
      <w:r>
        <w:rPr>
          <w:sz w:val="24"/>
          <w:szCs w:val="24"/>
        </w:rPr>
        <w:t>The formula is expressed as</w:t>
      </w:r>
    </w:p>
    <w:p>
      <w:pPr>
        <w:jc w:val="center"/>
        <w:rPr>
          <w:sz w:val="24"/>
          <w:szCs w:val="24"/>
        </w:rPr>
      </w:pPr>
      <w:r>
        <w:rPr>
          <w:position w:val="-14"/>
          <w:sz w:val="24"/>
          <w:szCs w:val="24"/>
        </w:rPr>
        <w:object>
          <v:shape id="_x0000_i1025" o:spt="75" type="#_x0000_t75" style="height:21.05pt;width:203.9pt;" o:ole="t" filled="f" o:preferrelative="t" stroked="f" coordsize="21600,21600">
            <v:path/>
            <v:fill on="f" focussize="0,0"/>
            <v:stroke on="f" joinstyle="miter"/>
            <v:imagedata r:id="rId6" o:title=""/>
            <o:lock v:ext="edit" aspectratio="t"/>
            <w10:wrap type="none"/>
            <w10:anchorlock/>
          </v:shape>
          <o:OLEObject Type="Embed" ProgID="Equation.KSEE3" ShapeID="_x0000_i1025" DrawAspect="Content" ObjectID="_1468075725" r:id="rId5">
            <o:LockedField>false</o:LockedField>
          </o:OLEObject>
        </w:object>
      </w:r>
    </w:p>
    <w:p>
      <w:pPr>
        <w:rPr>
          <w:sz w:val="24"/>
          <w:szCs w:val="24"/>
        </w:rPr>
      </w:pPr>
    </w:p>
    <w:p>
      <w:r>
        <w:rPr>
          <w:sz w:val="24"/>
          <w:szCs w:val="24"/>
        </w:rPr>
        <w:t xml:space="preserve">The three coefficients </w:t>
      </w:r>
      <w:r>
        <w:rPr>
          <w:position w:val="-12"/>
          <w:sz w:val="24"/>
          <w:szCs w:val="24"/>
        </w:rPr>
        <w:object>
          <v:shape id="_x0000_i1026" o:spt="75" type="#_x0000_t75" style="height:19.95pt;width:17.1pt;" o:ole="t" filled="f" o:preferrelative="t" stroked="f" coordsize="21600,21600">
            <v:path/>
            <v:fill on="f" focussize="0,0"/>
            <v:stroke on="f" joinstyle="miter"/>
            <v:imagedata r:id="rId8" o:title=""/>
            <o:lock v:ext="edit" aspectratio="t"/>
            <w10:wrap type="none"/>
            <w10:anchorlock/>
          </v:shape>
          <o:OLEObject Type="Embed" ProgID="Equation.KSEE3" ShapeID="_x0000_i1026" DrawAspect="Content" ObjectID="_1468075726" r:id="rId7">
            <o:LockedField>false</o:LockedField>
          </o:OLEObject>
        </w:object>
      </w:r>
      <w:r>
        <w:rPr>
          <w:sz w:val="24"/>
          <w:szCs w:val="24"/>
        </w:rPr>
        <w:t xml:space="preserve">, </w:t>
      </w:r>
      <w:r>
        <w:rPr>
          <w:position w:val="-12"/>
          <w:sz w:val="24"/>
          <w:szCs w:val="24"/>
        </w:rPr>
        <w:object>
          <v:shape id="_x0000_i1027" o:spt="75" type="#_x0000_t75" style="height:19.95pt;width:14.95pt;" o:ole="t" filled="f" o:preferrelative="t" stroked="f" coordsize="21600,21600">
            <v:path/>
            <v:fill on="f" focussize="0,0"/>
            <v:stroke on="f" joinstyle="miter"/>
            <v:imagedata r:id="rId10" o:title=""/>
            <o:lock v:ext="edit" aspectratio="t"/>
            <w10:wrap type="none"/>
            <w10:anchorlock/>
          </v:shape>
          <o:OLEObject Type="Embed" ProgID="Equation.KSEE3" ShapeID="_x0000_i1027" DrawAspect="Content" ObjectID="_1468075727" r:id="rId9">
            <o:LockedField>false</o:LockedField>
          </o:OLEObject>
        </w:object>
      </w:r>
      <w:r>
        <w:rPr>
          <w:sz w:val="24"/>
          <w:szCs w:val="24"/>
        </w:rPr>
        <w:t>,</w:t>
      </w:r>
      <w:r>
        <w:rPr>
          <w:position w:val="-12"/>
          <w:sz w:val="24"/>
          <w:szCs w:val="24"/>
        </w:rPr>
        <w:object>
          <v:shape id="_x0000_i1028" o:spt="75" type="#_x0000_t75" style="height:19.95pt;width:16.05pt;" o:ole="t" filled="f" o:preferrelative="t" stroked="f" coordsize="21600,21600">
            <v:path/>
            <v:fill on="f" focussize="0,0"/>
            <v:stroke on="f" joinstyle="miter"/>
            <v:imagedata r:id="rId12" o:title=""/>
            <o:lock v:ext="edit" aspectratio="t"/>
            <w10:wrap type="none"/>
            <w10:anchorlock/>
          </v:shape>
          <o:OLEObject Type="Embed" ProgID="Equation.KSEE3" ShapeID="_x0000_i1028" DrawAspect="Content" ObjectID="_1468075728" r:id="rId11">
            <o:LockedField>false</o:LockedField>
          </o:OLEObject>
        </w:object>
      </w:r>
      <w:r>
        <w:rPr>
          <w:sz w:val="24"/>
          <w:szCs w:val="24"/>
        </w:rPr>
        <w:t xml:space="preserve">as well as the intercept </w:t>
      </w:r>
      <w:r>
        <w:rPr>
          <w:position w:val="-12"/>
          <w:sz w:val="24"/>
          <w:szCs w:val="24"/>
        </w:rPr>
        <w:object>
          <v:shape id="_x0000_i1029" o:spt="75" type="#_x0000_t75" style="height:17.8pt;width:13.9pt;" o:ole="t" filled="f" o:preferrelative="t" stroked="f" coordsize="21600,21600">
            <v:path/>
            <v:fill on="f" focussize="0,0"/>
            <v:stroke on="f" joinstyle="miter"/>
            <v:imagedata r:id="rId14" o:title=""/>
            <o:lock v:ext="edit" aspectratio="t"/>
            <w10:wrap type="none"/>
            <w10:anchorlock/>
          </v:shape>
          <o:OLEObject Type="Embed" ProgID="Equation.KSEE3" ShapeID="_x0000_i1029" DrawAspect="Content" ObjectID="_1468075729" r:id="rId13">
            <o:LockedField>false</o:LockedField>
          </o:OLEObject>
        </w:object>
      </w:r>
      <w:r>
        <w:rPr>
          <w:sz w:val="24"/>
          <w:szCs w:val="24"/>
        </w:rPr>
        <w:t xml:space="preserve">are computed by a regression of the time series </w:t>
      </w:r>
      <w:r>
        <w:rPr>
          <w:position w:val="-14"/>
          <w:sz w:val="24"/>
          <w:szCs w:val="24"/>
        </w:rPr>
        <w:object>
          <v:shape id="_x0000_i1030" o:spt="75" type="#_x0000_t75" style="height:18.9pt;width:52.05pt;" o:ole="t" filled="f" o:preferrelative="t" stroked="f" coordsize="21600,21600">
            <v:path/>
            <v:fill on="f" focussize="0,0"/>
            <v:stroke on="f" joinstyle="miter"/>
            <v:imagedata r:id="rId16" o:title=""/>
            <o:lock v:ext="edit" aspectratio="t"/>
            <w10:wrap type="none"/>
            <w10:anchorlock/>
          </v:shape>
          <o:OLEObject Type="Embed" ProgID="Equation.KSEE3" ShapeID="_x0000_i1030" DrawAspect="Content" ObjectID="_1468075730" r:id="rId15">
            <o:LockedField>false</o:LockedField>
          </o:OLEObject>
        </w:object>
      </w:r>
      <w:r>
        <w:rPr>
          <w:sz w:val="24"/>
          <w:szCs w:val="24"/>
        </w:rPr>
        <w:t xml:space="preserve"> against the time series </w:t>
      </w:r>
      <w:r>
        <w:rPr>
          <w:position w:val="-14"/>
          <w:sz w:val="24"/>
          <w:szCs w:val="24"/>
        </w:rPr>
        <w:object>
          <v:shape id="_x0000_i1031" o:spt="75" type="#_x0000_t75" style="height:18.9pt;width:44.9pt;" o:ole="t" filled="f" o:preferrelative="t" stroked="f" coordsize="21600,21600">
            <v:path/>
            <v:fill on="f" focussize="0,0"/>
            <v:stroke on="f" joinstyle="miter"/>
            <v:imagedata r:id="rId18" o:title=""/>
            <o:lock v:ext="edit" aspectratio="t"/>
            <w10:wrap type="none"/>
            <w10:anchorlock/>
          </v:shape>
          <o:OLEObject Type="Embed" ProgID="Equation.KSEE3" ShapeID="_x0000_i1031" DrawAspect="Content" ObjectID="_1468075731" r:id="rId17">
            <o:LockedField>false</o:LockedField>
          </o:OLEObject>
        </w:object>
      </w:r>
      <w:r>
        <w:rPr>
          <w:sz w:val="24"/>
          <w:szCs w:val="24"/>
        </w:rPr>
        <w:t xml:space="preserve">, </w:t>
      </w:r>
      <w:r>
        <w:rPr>
          <w:position w:val="-12"/>
          <w:sz w:val="24"/>
          <w:szCs w:val="24"/>
        </w:rPr>
        <w:object>
          <v:shape id="_x0000_i1032" o:spt="75" type="#_x0000_t75" style="height:17.8pt;width:22.1pt;" o:ole="t" filled="f" o:preferrelative="t" stroked="f" coordsize="21600,21600">
            <v:path/>
            <v:fill on="f" focussize="0,0"/>
            <v:stroke on="f" joinstyle="miter"/>
            <v:imagedata r:id="rId20" o:title=""/>
            <o:lock v:ext="edit" aspectratio="t"/>
            <w10:wrap type="none"/>
            <w10:anchorlock/>
          </v:shape>
          <o:OLEObject Type="Embed" ProgID="Equation.KSEE3" ShapeID="_x0000_i1032" DrawAspect="Content" ObjectID="_1468075732" r:id="rId19">
            <o:LockedField>false</o:LockedField>
          </o:OLEObject>
        </w:object>
      </w:r>
      <w:r>
        <w:rPr>
          <w:sz w:val="24"/>
          <w:szCs w:val="24"/>
        </w:rPr>
        <w:t xml:space="preserve"> and </w:t>
      </w:r>
      <w:r>
        <w:rPr>
          <w:position w:val="-10"/>
          <w:sz w:val="24"/>
          <w:szCs w:val="24"/>
        </w:rPr>
        <w:object>
          <v:shape id="_x0000_i1033" o:spt="75" type="#_x0000_t75" style="height:17.1pt;width:23.15pt;" o:ole="t" filled="f" o:preferrelative="t" stroked="f" coordsize="21600,21600">
            <v:path/>
            <v:fill on="f" focussize="0,0"/>
            <v:stroke on="f" joinstyle="miter"/>
            <v:imagedata r:id="rId22" o:title=""/>
            <o:lock v:ext="edit" aspectratio="t"/>
            <w10:wrap type="none"/>
            <w10:anchorlock/>
          </v:shape>
          <o:OLEObject Type="Embed" ProgID="Equation.KSEE3" ShapeID="_x0000_i1033" DrawAspect="Content" ObjectID="_1468075733" r:id="rId21">
            <o:LockedField>false</o:LockedField>
          </o:OLEObject>
        </w:object>
      </w:r>
      <w:r>
        <w:rPr>
          <w:sz w:val="24"/>
          <w:szCs w:val="24"/>
        </w:rPr>
        <w:t xml:space="preserve"> . In our project, we use long-term time series data of 200 days, mid-term of 100 days and short-term of 50 days to do the regression, respectively. And </w:t>
      </w:r>
      <w:r>
        <w:rPr>
          <w:position w:val="-12"/>
          <w:sz w:val="24"/>
          <w:szCs w:val="24"/>
        </w:rPr>
        <w:object>
          <v:shape id="_x0000_i1034" o:spt="75" type="#_x0000_t75" style="height:17.8pt;width:22.1pt;" o:ole="t" filled="f" o:preferrelative="t" stroked="f" coordsize="21600,21600">
            <v:path/>
            <v:fill on="f" focussize="0,0"/>
            <v:stroke on="f" joinstyle="miter"/>
            <v:imagedata r:id="rId20" o:title=""/>
            <o:lock v:ext="edit" aspectratio="t"/>
            <w10:wrap type="none"/>
            <w10:anchorlock/>
          </v:shape>
          <o:OLEObject Type="Embed" ProgID="Equation.KSEE3" ShapeID="_x0000_i1034" DrawAspect="Content" ObjectID="_1468075734" r:id="rId23">
            <o:LockedField>false</o:LockedField>
          </o:OLEObject>
        </w:object>
      </w:r>
      <w:r>
        <w:rPr>
          <w:sz w:val="24"/>
          <w:szCs w:val="24"/>
        </w:rPr>
        <w:t xml:space="preserve">represents small size variables minus big one, and </w:t>
      </w:r>
      <w:r>
        <w:rPr>
          <w:position w:val="-10"/>
          <w:sz w:val="24"/>
          <w:szCs w:val="24"/>
        </w:rPr>
        <w:object>
          <v:shape id="_x0000_i1035" o:spt="75" type="#_x0000_t75" style="height:17.1pt;width:23.15pt;" o:ole="t" filled="f" o:preferrelative="t" stroked="f" coordsize="21600,21600">
            <v:path/>
            <v:fill on="f" focussize="0,0"/>
            <v:stroke on="f" joinstyle="miter"/>
            <v:imagedata r:id="rId22" o:title=""/>
            <o:lock v:ext="edit" aspectratio="t"/>
            <w10:wrap type="none"/>
            <w10:anchorlock/>
          </v:shape>
          <o:OLEObject Type="Embed" ProgID="Equation.KSEE3" ShapeID="_x0000_i1035" DrawAspect="Content" ObjectID="_1468075735" r:id="rId24">
            <o:LockedField>false</o:LockedField>
          </o:OLEObject>
        </w:object>
      </w:r>
      <w:r>
        <w:rPr>
          <w:sz w:val="24"/>
          <w:szCs w:val="24"/>
        </w:rPr>
        <w:t xml:space="preserve"> represents high minus low in book value to market ratio.</w:t>
      </w:r>
    </w:p>
    <w:p>
      <w:pPr>
        <w:rPr>
          <w:sz w:val="24"/>
        </w:rPr>
      </w:pPr>
    </w:p>
    <w:p>
      <w:pPr>
        <w:pStyle w:val="3"/>
      </w:pPr>
      <w:r>
        <w:rPr>
          <w:sz w:val="28"/>
          <w:szCs w:val="28"/>
        </w:rPr>
        <w:t>3.2 Time Series Model (</w:t>
      </w:r>
      <w:r>
        <w:rPr>
          <w:rFonts w:hint="eastAsia"/>
          <w:sz w:val="28"/>
          <w:szCs w:val="28"/>
        </w:rPr>
        <w:t>Max Return with Target Beta)</w:t>
      </w:r>
    </w:p>
    <w:p>
      <w:pPr>
        <w:jc w:val="left"/>
      </w:pPr>
    </w:p>
    <w:p>
      <w:pPr>
        <w:jc w:val="left"/>
        <w:rPr>
          <w:sz w:val="24"/>
          <w:szCs w:val="24"/>
        </w:rPr>
      </w:pPr>
      <w:r>
        <w:rPr>
          <w:sz w:val="24"/>
          <w:szCs w:val="24"/>
        </w:rPr>
        <w:t>Time Series Model is used to construct portfolio to maximum portfolio expected return with a target return. The optimization of portfolio can be presented as the form from Investment Strategy</w:t>
      </w:r>
    </w:p>
    <w:p>
      <w:pPr>
        <w:jc w:val="center"/>
        <w:rPr>
          <w:sz w:val="24"/>
          <w:szCs w:val="24"/>
        </w:rPr>
      </w:pPr>
      <w:r>
        <w:rPr>
          <w:position w:val="-92"/>
          <w:sz w:val="24"/>
          <w:szCs w:val="24"/>
        </w:rPr>
        <w:object>
          <v:shape id="_x0000_i1036" o:spt="75" type="#_x0000_t75" style="height:98pt;width:168.95pt;" o:ole="t" filled="f" o:preferrelative="t" stroked="f" coordsize="21600,21600">
            <v:path/>
            <v:fill on="f" focussize="0,0"/>
            <v:stroke on="f" joinstyle="miter"/>
            <v:imagedata r:id="rId26" o:title=""/>
            <o:lock v:ext="edit" aspectratio="t"/>
            <w10:wrap type="none"/>
            <w10:anchorlock/>
          </v:shape>
          <o:OLEObject Type="Embed" ProgID="Equation.KSEE3" ShapeID="_x0000_i1036" DrawAspect="Content" ObjectID="_1468075736" r:id="rId25">
            <o:LockedField>false</o:LockedField>
          </o:OLEObject>
        </w:object>
      </w:r>
    </w:p>
    <w:p>
      <w:pPr>
        <w:rPr>
          <w:sz w:val="24"/>
          <w:szCs w:val="24"/>
        </w:rPr>
      </w:pPr>
      <w:r>
        <w:rPr>
          <w:sz w:val="24"/>
          <w:szCs w:val="24"/>
        </w:rPr>
        <w:t>where</w:t>
      </w:r>
    </w:p>
    <w:p>
      <w:pPr>
        <w:numPr>
          <w:ilvl w:val="0"/>
          <w:numId w:val="2"/>
        </w:numPr>
        <w:rPr>
          <w:sz w:val="24"/>
          <w:szCs w:val="24"/>
        </w:rPr>
      </w:pPr>
      <w:r>
        <w:rPr>
          <w:sz w:val="24"/>
          <w:szCs w:val="24"/>
        </w:rPr>
        <w:t xml:space="preserve">Q is the Identity matrix (with diagonal elements equal to 1), </w:t>
      </w:r>
      <w:r>
        <w:rPr>
          <w:position w:val="-14"/>
          <w:sz w:val="24"/>
          <w:szCs w:val="24"/>
        </w:rPr>
        <w:object>
          <v:shape id="_x0000_i1037" o:spt="75" type="#_x0000_t75" style="height:18.9pt;width:16.05pt;" o:ole="t" filled="f" o:preferrelative="t" stroked="f" coordsize="21600,21600">
            <v:path/>
            <v:fill on="f" focussize="0,0"/>
            <v:stroke on="f" joinstyle="miter"/>
            <v:imagedata r:id="rId28" o:title=""/>
            <o:lock v:ext="edit" aspectratio="t"/>
            <w10:wrap type="none"/>
            <w10:anchorlock/>
          </v:shape>
          <o:OLEObject Type="Embed" ProgID="Equation.KSEE3" ShapeID="_x0000_i1037" DrawAspect="Content" ObjectID="_1468075737" r:id="rId27">
            <o:LockedField>false</o:LockedField>
          </o:OLEObject>
        </w:object>
      </w:r>
      <w:r>
        <w:rPr>
          <w:sz w:val="24"/>
          <w:szCs w:val="24"/>
        </w:rPr>
        <w:t xml:space="preserve">is the composition of a reference Portfolio (the previous Portfolio for backtesting, otherwise </w:t>
      </w:r>
      <w:r>
        <w:rPr>
          <w:position w:val="-14"/>
          <w:sz w:val="24"/>
          <w:szCs w:val="24"/>
        </w:rPr>
        <w:object>
          <v:shape id="_x0000_i1038" o:spt="75" type="#_x0000_t75" style="height:18.9pt;width:16.05pt;" o:ole="t" filled="f" o:preferrelative="t" stroked="f" coordsize="21600,21600">
            <v:path/>
            <v:fill on="f" focussize="0,0"/>
            <v:stroke on="f" joinstyle="miter"/>
            <v:imagedata r:id="rId30" o:title=""/>
            <o:lock v:ext="edit" aspectratio="t"/>
            <w10:wrap type="none"/>
            <w10:anchorlock/>
          </v:shape>
          <o:OLEObject Type="Embed" ProgID="Equation.KSEE3" ShapeID="_x0000_i1038" DrawAspect="Content" ObjectID="_1468075738" r:id="rId29">
            <o:LockedField>false</o:LockedField>
          </o:OLEObject>
        </w:object>
      </w:r>
      <w:r>
        <w:rPr>
          <w:sz w:val="24"/>
          <w:szCs w:val="24"/>
        </w:rPr>
        <w:t xml:space="preserve">has all its components equal to 1/n) and </w:t>
      </w:r>
      <w:r>
        <w:rPr>
          <w:position w:val="-6"/>
          <w:sz w:val="24"/>
          <w:szCs w:val="24"/>
        </w:rPr>
        <w:object>
          <v:shape id="_x0000_i1039" o:spt="75" type="#_x0000_t75" style="height:13.9pt;width:11.05pt;" o:ole="t" filled="f" o:preferrelative="t" stroked="f" coordsize="21600,21600">
            <v:path/>
            <v:fill on="f" focussize="0,0"/>
            <v:stroke on="f" joinstyle="miter"/>
            <v:imagedata r:id="rId32" o:title=""/>
            <o:lock v:ext="edit" aspectratio="t"/>
            <w10:wrap type="none"/>
            <w10:anchorlock/>
          </v:shape>
          <o:OLEObject Type="Embed" ProgID="Equation.KSEE3" ShapeID="_x0000_i1039" DrawAspect="Content" ObjectID="_1468075739" r:id="rId31">
            <o:LockedField>false</o:LockedField>
          </o:OLEObject>
        </w:object>
      </w:r>
      <w:r>
        <w:rPr>
          <w:sz w:val="24"/>
          <w:szCs w:val="24"/>
        </w:rPr>
        <w:t xml:space="preserve"> is a small regularization parameter to limit the turnover (alternative: Q = </w:t>
      </w:r>
      <w:r>
        <w:rPr>
          <w:position w:val="-14"/>
          <w:sz w:val="24"/>
          <w:szCs w:val="24"/>
        </w:rPr>
        <w:object>
          <v:shape id="_x0000_i1040" o:spt="75" type="#_x0000_t75" style="height:19.95pt;width:23.15pt;" o:ole="t" filled="f" o:preferrelative="t" stroked="f" coordsize="21600,21600">
            <v:path/>
            <v:fill on="f" focussize="0,0"/>
            <v:stroke on="f" joinstyle="miter"/>
            <v:imagedata r:id="rId34" o:title=""/>
            <o:lock v:ext="edit" aspectratio="t"/>
            <w10:wrap type="none"/>
            <w10:anchorlock/>
          </v:shape>
          <o:OLEObject Type="Embed" ProgID="Equation.KSEE3" ShapeID="_x0000_i1040" DrawAspect="Content" ObjectID="_1468075740" r:id="rId33">
            <o:LockedField>false</o:LockedField>
          </o:OLEObject>
        </w:object>
      </w:r>
      <w:r>
        <w:rPr>
          <w:sz w:val="24"/>
          <w:szCs w:val="24"/>
        </w:rPr>
        <w:t>, the covariance matrix);</w:t>
      </w:r>
    </w:p>
    <w:p>
      <w:pPr>
        <w:numPr>
          <w:ilvl w:val="0"/>
          <w:numId w:val="2"/>
        </w:numPr>
        <w:rPr>
          <w:sz w:val="24"/>
          <w:szCs w:val="24"/>
        </w:rPr>
      </w:pPr>
      <w:r>
        <w:rPr>
          <w:sz w:val="24"/>
          <w:szCs w:val="24"/>
        </w:rPr>
        <w:t xml:space="preserve"> </w:t>
      </w:r>
      <w:r>
        <w:rPr>
          <w:position w:val="-30"/>
          <w:sz w:val="24"/>
          <w:szCs w:val="24"/>
        </w:rPr>
        <w:object>
          <v:shape id="_x0000_i1041" o:spt="75" type="#_x0000_t75" style="height:33.85pt;width:83.05pt;" o:ole="t" filled="f" o:preferrelative="t" stroked="f" coordsize="21600,21600">
            <v:path/>
            <v:fill on="f" focussize="0,0"/>
            <v:stroke on="f" joinstyle="miter"/>
            <v:imagedata r:id="rId36" o:title=""/>
            <o:lock v:ext="edit" aspectratio="t"/>
            <w10:wrap type="none"/>
            <w10:anchorlock/>
          </v:shape>
          <o:OLEObject Type="Embed" ProgID="Equation.KSEE3" ShapeID="_x0000_i1041" DrawAspect="Content" ObjectID="_1468075741" r:id="rId35">
            <o:LockedField>false</o:LockedField>
          </o:OLEObject>
        </w:object>
      </w:r>
      <w:r>
        <w:rPr>
          <w:sz w:val="24"/>
          <w:szCs w:val="24"/>
        </w:rPr>
        <w:t xml:space="preserve"> is the Beta of security </w:t>
      </w:r>
      <w:r>
        <w:rPr>
          <w:position w:val="-12"/>
          <w:sz w:val="24"/>
          <w:szCs w:val="24"/>
        </w:rPr>
        <w:object>
          <v:shape id="_x0000_i1042" o:spt="75" type="#_x0000_t75" style="height:17.8pt;width:13.2pt;" o:ole="t" filled="f" o:preferrelative="t" stroked="f" coordsize="21600,21600">
            <v:path/>
            <v:fill on="f" focussize="0,0"/>
            <v:stroke on="f" joinstyle="miter"/>
            <v:imagedata r:id="rId38" o:title=""/>
            <o:lock v:ext="edit" aspectratio="t"/>
            <w10:wrap type="none"/>
            <w10:anchorlock/>
          </v:shape>
          <o:OLEObject Type="Embed" ProgID="Equation.KSEE3" ShapeID="_x0000_i1042" DrawAspect="Content" ObjectID="_1468075742" r:id="rId37">
            <o:LockedField>false</o:LockedField>
          </o:OLEObject>
        </w:object>
      </w:r>
      <w:r>
        <w:rPr>
          <w:sz w:val="24"/>
          <w:szCs w:val="24"/>
        </w:rPr>
        <w:t xml:space="preserve"> as defined in the CAPM Model so that </w:t>
      </w:r>
      <w:r>
        <w:rPr>
          <w:position w:val="-28"/>
          <w:sz w:val="24"/>
          <w:szCs w:val="24"/>
        </w:rPr>
        <w:object>
          <v:shape id="_x0000_i1043" o:spt="75" type="#_x0000_t75" style="height:33.85pt;width:77pt;" o:ole="t" filled="f" o:preferrelative="t" stroked="f" coordsize="21600,21600">
            <v:path/>
            <v:fill on="f" focussize="0,0"/>
            <v:stroke on="f" joinstyle="miter"/>
            <v:imagedata r:id="rId40" o:title=""/>
            <o:lock v:ext="edit" aspectratio="t"/>
            <w10:wrap type="none"/>
            <w10:anchorlock/>
          </v:shape>
          <o:OLEObject Type="Embed" ProgID="Equation.KSEE3" ShapeID="_x0000_i1043" DrawAspect="Content" ObjectID="_1468075743" r:id="rId39">
            <o:LockedField>false</o:LockedField>
          </o:OLEObject>
        </w:object>
      </w:r>
      <w:r>
        <w:rPr>
          <w:sz w:val="24"/>
          <w:szCs w:val="24"/>
        </w:rPr>
        <w:t>is the Beta of the Portfolio;</w:t>
      </w:r>
    </w:p>
    <w:p>
      <w:pPr>
        <w:numPr>
          <w:ilvl w:val="0"/>
          <w:numId w:val="2"/>
        </w:numPr>
      </w:pPr>
      <w:r>
        <w:rPr>
          <w:position w:val="-10"/>
          <w:sz w:val="24"/>
          <w:szCs w:val="24"/>
        </w:rPr>
        <w:object>
          <v:shape id="_x0000_i1044" o:spt="75" type="#_x0000_t75" style="height:18.9pt;width:22.1pt;" o:ole="t" filled="f" o:preferrelative="t" stroked="f" coordsize="21600,21600">
            <v:path/>
            <v:fill on="f" focussize="0,0"/>
            <v:stroke on="f" joinstyle="miter"/>
            <v:imagedata r:id="rId42" o:title=""/>
            <o:lock v:ext="edit" aspectratio="t"/>
            <w10:wrap type="none"/>
            <w10:anchorlock/>
          </v:shape>
          <o:OLEObject Type="Embed" ProgID="Equation.KSEE3" ShapeID="_x0000_i1044" DrawAspect="Content" ObjectID="_1468075744" r:id="rId41">
            <o:LockedField>false</o:LockedField>
          </o:OLEObject>
        </w:object>
      </w:r>
      <w:r>
        <w:rPr>
          <w:sz w:val="24"/>
          <w:szCs w:val="24"/>
        </w:rPr>
        <w:t xml:space="preserve"> is the Portfolio's Target Beta, we use </w:t>
      </w:r>
      <w:r>
        <w:rPr>
          <w:position w:val="-10"/>
          <w:sz w:val="24"/>
          <w:szCs w:val="24"/>
        </w:rPr>
        <w:object>
          <v:shape id="_x0000_i1045" o:spt="75" type="#_x0000_t75" style="height:18.9pt;width:150.05pt;" o:ole="t" filled="f" o:preferrelative="t" stroked="f" coordsize="21600,21600">
            <v:path/>
            <v:fill on="f" focussize="0,0"/>
            <v:stroke on="f" joinstyle="miter"/>
            <v:imagedata r:id="rId44" o:title=""/>
            <o:lock v:ext="edit" aspectratio="t"/>
            <w10:wrap type="none"/>
            <w10:anchorlock/>
          </v:shape>
          <o:OLEObject Type="Embed" ProgID="Equation.KSEE3" ShapeID="_x0000_i1045" DrawAspect="Content" ObjectID="_1468075745" r:id="rId43">
            <o:LockedField>false</o:LockedField>
          </o:OLEObject>
        </w:object>
      </w:r>
      <w:r>
        <w:rPr>
          <w:sz w:val="24"/>
          <w:szCs w:val="24"/>
        </w:rPr>
        <w:t xml:space="preserve"> as our target beta</w:t>
      </w:r>
    </w:p>
    <w:p>
      <w:pPr>
        <w:rPr>
          <w:sz w:val="24"/>
        </w:rPr>
      </w:pPr>
    </w:p>
    <w:p>
      <w:pPr>
        <w:pStyle w:val="3"/>
      </w:pPr>
      <w:r>
        <w:rPr>
          <w:sz w:val="28"/>
          <w:szCs w:val="28"/>
        </w:rPr>
        <w:t>3.3 Min Variance with 15% Target Return</w:t>
      </w:r>
    </w:p>
    <w:p/>
    <w:p>
      <w:pPr>
        <w:rPr>
          <w:sz w:val="24"/>
          <w:szCs w:val="24"/>
        </w:rPr>
      </w:pPr>
      <w:r>
        <w:rPr>
          <w:sz w:val="24"/>
          <w:szCs w:val="24"/>
        </w:rPr>
        <w:t>As a consequence of the previous section, the benchmark problem designed as min-variance with a 15% annual return target is to be formulated as follows:</w:t>
      </w:r>
    </w:p>
    <w:p>
      <w:pPr>
        <w:jc w:val="center"/>
        <w:rPr>
          <w:sz w:val="24"/>
          <w:szCs w:val="24"/>
        </w:rPr>
      </w:pPr>
      <w:r>
        <w:rPr>
          <w:position w:val="-80"/>
          <w:sz w:val="24"/>
          <w:szCs w:val="24"/>
        </w:rPr>
        <w:object>
          <v:shape id="_x0000_i1046" o:spt="75" type="#_x0000_t75" style="height:85.9pt;width:181.05pt;" o:ole="t" filled="f" o:preferrelative="t" stroked="f" coordsize="21600,21600">
            <v:path/>
            <v:fill on="f" focussize="0,0"/>
            <v:stroke on="f" joinstyle="miter"/>
            <v:imagedata r:id="rId46" o:title=""/>
            <o:lock v:ext="edit" aspectratio="t"/>
            <w10:wrap type="none"/>
            <w10:anchorlock/>
          </v:shape>
          <o:OLEObject Type="Embed" ProgID="Equation.KSEE3" ShapeID="_x0000_i1046" DrawAspect="Content" ObjectID="_1468075746" r:id="rId45">
            <o:LockedField>false</o:LockedField>
          </o:OLEObject>
        </w:object>
      </w:r>
    </w:p>
    <w:p>
      <w:pPr>
        <w:rPr>
          <w:sz w:val="24"/>
          <w:szCs w:val="24"/>
        </w:rPr>
      </w:pPr>
      <w:r>
        <w:rPr>
          <w:sz w:val="24"/>
          <w:szCs w:val="24"/>
        </w:rPr>
        <w:t xml:space="preserve">where </w:t>
      </w:r>
      <w:r>
        <w:rPr>
          <w:position w:val="-14"/>
          <w:sz w:val="24"/>
          <w:szCs w:val="24"/>
        </w:rPr>
        <w:object>
          <v:shape id="_x0000_i1047" o:spt="75" type="#_x0000_t75" style="height:19.95pt;width:23.15pt;" o:ole="t" filled="f" o:preferrelative="t" stroked="f" coordsize="21600,21600">
            <v:path/>
            <v:fill on="f" focussize="0,0"/>
            <v:stroke on="f" joinstyle="miter"/>
            <v:imagedata r:id="rId48" o:title=""/>
            <o:lock v:ext="edit" aspectratio="t"/>
            <w10:wrap type="none"/>
            <w10:anchorlock/>
          </v:shape>
          <o:OLEObject Type="Embed" ProgID="Equation.KSEE3" ShapeID="_x0000_i1047" DrawAspect="Content" ObjectID="_1468075747" r:id="rId47">
            <o:LockedField>false</o:LockedField>
          </o:OLEObject>
        </w:object>
      </w:r>
      <w:r>
        <w:rPr>
          <w:sz w:val="24"/>
          <w:szCs w:val="24"/>
        </w:rPr>
        <w:t xml:space="preserve"> is the covariance matrix, and Under that factor model, the return of a security is given by the formula</w:t>
      </w:r>
      <w:r>
        <w:rPr>
          <w:position w:val="-14"/>
          <w:sz w:val="24"/>
          <w:szCs w:val="24"/>
        </w:rPr>
        <w:object>
          <v:shape id="_x0000_i1048" o:spt="75" type="#_x0000_t75" style="height:21.05pt;width:228.1pt;" o:ole="t" filled="f" o:preferrelative="t" stroked="f" coordsize="21600,21600">
            <v:path/>
            <v:fill on="f" focussize="0,0"/>
            <v:stroke on="f" joinstyle="miter"/>
            <v:imagedata r:id="rId50" o:title=""/>
            <o:lock v:ext="edit" aspectratio="t"/>
            <w10:wrap type="none"/>
            <w10:anchorlock/>
          </v:shape>
          <o:OLEObject Type="Embed" ProgID="Equation.KSEE3" ShapeID="_x0000_i1048" DrawAspect="Content" ObjectID="_1468075748" r:id="rId49">
            <o:LockedField>false</o:LockedField>
          </o:OLEObject>
        </w:object>
      </w:r>
      <w:r>
        <w:rPr>
          <w:sz w:val="24"/>
          <w:szCs w:val="24"/>
        </w:rPr>
        <w:t xml:space="preserve"> </w:t>
      </w:r>
    </w:p>
    <w:p>
      <w:pPr>
        <w:rPr>
          <w:sz w:val="24"/>
          <w:szCs w:val="24"/>
        </w:rPr>
      </w:pPr>
    </w:p>
    <w:p>
      <w:pPr>
        <w:rPr>
          <w:sz w:val="24"/>
          <w:szCs w:val="24"/>
        </w:rPr>
      </w:pPr>
      <w:r>
        <w:rPr>
          <w:sz w:val="24"/>
          <w:szCs w:val="24"/>
        </w:rPr>
        <w:t xml:space="preserve">Specially, in Investment Strategy, with </w:t>
      </w:r>
      <w:r>
        <w:rPr>
          <w:position w:val="-12"/>
          <w:sz w:val="24"/>
          <w:szCs w:val="24"/>
        </w:rPr>
        <w:object>
          <v:shape id="_x0000_i1049" o:spt="75" type="#_x0000_t75" style="height:17.8pt;width:48.1pt;" o:ole="t" filled="f" o:preferrelative="t" stroked="f" coordsize="21600,21600">
            <v:path/>
            <v:fill on="f" focussize="0,0"/>
            <v:stroke on="f" joinstyle="miter"/>
            <v:imagedata r:id="rId52" o:title=""/>
            <o:lock v:ext="edit" aspectratio="t"/>
            <w10:wrap type="none"/>
            <w10:anchorlock/>
          </v:shape>
          <o:OLEObject Type="Embed" ProgID="Equation.KSEE3" ShapeID="_x0000_i1049" DrawAspect="Content" ObjectID="_1468075749" r:id="rId51">
            <o:LockedField>false</o:LockedField>
          </o:OLEObject>
        </w:object>
      </w:r>
      <w:r>
        <w:rPr>
          <w:sz w:val="24"/>
          <w:szCs w:val="24"/>
        </w:rPr>
        <w:t>, it can be</w:t>
      </w:r>
    </w:p>
    <w:p>
      <w:pPr>
        <w:jc w:val="center"/>
        <w:rPr>
          <w:sz w:val="24"/>
        </w:rPr>
      </w:pPr>
      <w:r>
        <w:rPr>
          <w:position w:val="-14"/>
          <w:sz w:val="24"/>
          <w:szCs w:val="24"/>
        </w:rPr>
        <w:object>
          <v:shape id="_x0000_i1050" o:spt="75" type="#_x0000_t75" style="height:21.05pt;width:218.85pt;" o:ole="t" filled="f" o:preferrelative="t" stroked="f" coordsize="21600,21600">
            <v:path/>
            <v:fill on="f" focussize="0,0"/>
            <v:stroke on="f" joinstyle="miter"/>
            <v:imagedata r:id="rId54" o:title=""/>
            <o:lock v:ext="edit" aspectratio="t"/>
            <w10:wrap type="none"/>
            <w10:anchorlock/>
          </v:shape>
          <o:OLEObject Type="Embed" ProgID="Equation.KSEE3" ShapeID="_x0000_i1050" DrawAspect="Content" ObjectID="_1468075750" r:id="rId53">
            <o:LockedField>false</o:LockedField>
          </o:OLEObject>
        </w:object>
      </w:r>
      <w:r>
        <w:rPr>
          <w:sz w:val="24"/>
          <w:szCs w:val="24"/>
        </w:rPr>
        <w:t xml:space="preserve">, and </w:t>
      </w:r>
      <w:r>
        <w:rPr>
          <w:position w:val="-14"/>
          <w:sz w:val="24"/>
          <w:szCs w:val="24"/>
        </w:rPr>
        <w:object>
          <v:shape id="_x0000_i1051" o:spt="75" type="#_x0000_t75" style="height:19.95pt;width:77pt;" o:ole="t" filled="f" o:preferrelative="t" stroked="f" coordsize="21600,21600">
            <v:path/>
            <v:fill on="f" focussize="0,0"/>
            <v:stroke on="f" joinstyle="miter"/>
            <v:imagedata r:id="rId56" o:title=""/>
            <o:lock v:ext="edit" aspectratio="t"/>
            <w10:wrap type="none"/>
            <w10:anchorlock/>
          </v:shape>
          <o:OLEObject Type="Embed" ProgID="Equation.KSEE3" ShapeID="_x0000_i1051" DrawAspect="Content" ObjectID="_1468075751" r:id="rId55">
            <o:LockedField>false</o:LockedField>
          </o:OLEObject>
        </w:object>
      </w:r>
      <w:r>
        <w:rPr>
          <w:sz w:val="24"/>
        </w:rPr>
        <w:t>.</w:t>
      </w:r>
    </w:p>
    <w:p>
      <w:pPr>
        <w:rPr>
          <w:sz w:val="24"/>
        </w:rPr>
      </w:pPr>
    </w:p>
    <w:p>
      <w:pPr>
        <w:rPr>
          <w:sz w:val="24"/>
        </w:rPr>
      </w:pPr>
    </w:p>
    <w:p>
      <w:pPr>
        <w:pStyle w:val="3"/>
      </w:pPr>
      <w:r>
        <w:rPr>
          <w:rFonts w:hint="eastAsia"/>
          <w:sz w:val="28"/>
          <w:szCs w:val="28"/>
        </w:rPr>
        <w:t>3.4 Implementing Method</w:t>
      </w:r>
    </w:p>
    <w:p/>
    <w:p>
      <w:pPr>
        <w:rPr>
          <w:sz w:val="24"/>
          <w:szCs w:val="24"/>
        </w:rPr>
      </w:pPr>
      <w:r>
        <w:rPr>
          <w:sz w:val="24"/>
          <w:szCs w:val="24"/>
        </w:rPr>
        <w:t>For the optimization process, we apply ‘solve.QP’ function in ‘quadprog’ package in R in this project. The detail about this function is shown below.</w:t>
      </w:r>
    </w:p>
    <w:p>
      <w:pPr>
        <w:rPr>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func>
                    <m:funcPr>
                      <m:ctrlPr>
                        <w:rPr>
                          <w:rFonts w:ascii="Cambria Math" w:hAnsi="Cambria Math"/>
                          <w:sz w:val="24"/>
                          <w:szCs w:val="24"/>
                        </w:rPr>
                      </m:ctrlPr>
                    </m:funcPr>
                    <m:fName>
                      <m:r>
                        <m:rPr>
                          <m:sty m:val="p"/>
                        </m:rPr>
                        <w:rPr>
                          <w:rFonts w:ascii="Cambria Math" w:hAnsi="Cambria Math"/>
                          <w:sz w:val="24"/>
                          <w:szCs w:val="24"/>
                        </w:rPr>
                        <m:t>min</m:t>
                      </m:r>
                      <m:ctrlPr>
                        <w:rPr>
                          <w:rFonts w:ascii="Cambria Math" w:hAnsi="Cambria Math"/>
                          <w:sz w:val="24"/>
                          <w:szCs w:val="24"/>
                        </w:rPr>
                      </m:ctrlPr>
                    </m:fName>
                    <m:e>
                      <m:d>
                        <m:dPr>
                          <m:ctrlPr>
                            <w:rPr>
                              <w:rFonts w:ascii="Cambria Math" w:hAnsi="Cambria Math"/>
                              <w:sz w:val="24"/>
                              <w:szCs w:val="24"/>
                            </w:rPr>
                          </m:ctrlPr>
                        </m:dPr>
                        <m:e>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ⅆ</m:t>
                              </m:r>
                              <m:ctrlPr>
                                <w:rPr>
                                  <w:rFonts w:ascii="Cambria Math" w:hAnsi="Cambria Math"/>
                                  <w:sz w:val="24"/>
                                  <w:szCs w:val="24"/>
                                </w:rPr>
                              </m:ctrlPr>
                            </m:e>
                            <m:sup>
                              <m:r>
                                <m:rPr>
                                  <m:sty m:val="p"/>
                                </m:rPr>
                                <w:rPr>
                                  <w:rFonts w:ascii="Cambria Math" w:hAnsi="Cambria Math"/>
                                  <w:sz w:val="24"/>
                                  <w:szCs w:val="24"/>
                                </w:rPr>
                                <m:t>T</m:t>
                              </m:r>
                              <m:ctrlPr>
                                <w:rPr>
                                  <w:rFonts w:ascii="Cambria Math" w:hAnsi="Cambria Math"/>
                                  <w:sz w:val="24"/>
                                  <w:szCs w:val="24"/>
                                </w:rPr>
                              </m:ctrlPr>
                            </m:sup>
                          </m:sSup>
                          <m:r>
                            <m:rPr>
                              <m:sty m:val="p"/>
                            </m:rPr>
                            <w:rPr>
                              <w:rFonts w:ascii="Cambria Math" w:hAnsi="Cambria Math"/>
                              <w:sz w:val="24"/>
                              <w:szCs w:val="24"/>
                            </w:rPr>
                            <m:t>ω+</m:t>
                          </m:r>
                          <m:f>
                            <m:fPr>
                              <m:ctrlPr>
                                <w:rPr>
                                  <w:rFonts w:ascii="Cambria Math" w:hAnsi="Cambria Math"/>
                                  <w:sz w:val="24"/>
                                  <w:szCs w:val="24"/>
                                </w:rPr>
                              </m:ctrlPr>
                            </m:fPr>
                            <m:num>
                              <m:r>
                                <m:rPr>
                                  <m:sty m:val="p"/>
                                </m:rPr>
                                <w:rPr>
                                  <w:rFonts w:ascii="Cambria Math" w:hAnsi="Cambria Math"/>
                                  <w:sz w:val="24"/>
                                  <w:szCs w:val="24"/>
                                </w:rPr>
                                <m:t>1</m:t>
                              </m:r>
                              <m:ctrlPr>
                                <w:rPr>
                                  <w:rFonts w:ascii="Cambria Math" w:hAnsi="Cambria Math"/>
                                  <w:sz w:val="24"/>
                                  <w:szCs w:val="24"/>
                                </w:rPr>
                              </m:ctrlPr>
                            </m:num>
                            <m:den>
                              <m:r>
                                <m:rPr>
                                  <m:sty m:val="p"/>
                                </m:rPr>
                                <w:rPr>
                                  <w:rFonts w:ascii="Cambria Math" w:hAnsi="Cambria Math"/>
                                  <w:sz w:val="24"/>
                                  <w:szCs w:val="24"/>
                                </w:rPr>
                                <m:t>2</m:t>
                              </m:r>
                              <m:ctrlPr>
                                <w:rPr>
                                  <w:rFonts w:ascii="Cambria Math" w:hAnsi="Cambria Math"/>
                                  <w:sz w:val="24"/>
                                  <w:szCs w:val="24"/>
                                </w:rPr>
                              </m:ctrlPr>
                            </m:den>
                          </m:f>
                          <m:sSup>
                            <m:sSupPr>
                              <m:ctrlPr>
                                <w:rPr>
                                  <w:rFonts w:ascii="Cambria Math" w:hAnsi="Cambria Math"/>
                                  <w:sz w:val="24"/>
                                  <w:szCs w:val="24"/>
                                </w:rPr>
                              </m:ctrlPr>
                            </m:sSupPr>
                            <m:e>
                              <m:r>
                                <m:rPr>
                                  <m:sty m:val="p"/>
                                </m:rPr>
                                <w:rPr>
                                  <w:rFonts w:ascii="Cambria Math" w:hAnsi="Cambria Math"/>
                                  <w:sz w:val="24"/>
                                  <w:szCs w:val="24"/>
                                </w:rPr>
                                <m:t>ω</m:t>
                              </m:r>
                              <m:ctrlPr>
                                <w:rPr>
                                  <w:rFonts w:ascii="Cambria Math" w:hAnsi="Cambria Math"/>
                                  <w:sz w:val="24"/>
                                  <w:szCs w:val="24"/>
                                </w:rPr>
                              </m:ctrlPr>
                            </m:e>
                            <m:sup>
                              <m:r>
                                <m:rPr>
                                  <m:sty m:val="p"/>
                                </m:rPr>
                                <w:rPr>
                                  <w:rFonts w:ascii="Cambria Math" w:hAnsi="Cambria Math"/>
                                  <w:sz w:val="24"/>
                                  <w:szCs w:val="24"/>
                                </w:rPr>
                                <m:t>T</m:t>
                              </m:r>
                              <m:ctrlPr>
                                <w:rPr>
                                  <w:rFonts w:ascii="Cambria Math" w:hAnsi="Cambria Math"/>
                                  <w:sz w:val="24"/>
                                  <w:szCs w:val="24"/>
                                </w:rPr>
                              </m:ctrlPr>
                            </m:sup>
                          </m:sSup>
                          <m:r>
                            <m:rPr>
                              <m:sty m:val="p"/>
                            </m:rPr>
                            <w:rPr>
                              <w:rFonts w:ascii="Cambria Math" w:hAnsi="Cambria Math"/>
                              <w:sz w:val="24"/>
                              <w:szCs w:val="24"/>
                            </w:rPr>
                            <m:t>Dω</m:t>
                          </m:r>
                          <m:ctrlPr>
                            <w:rPr>
                              <w:rFonts w:ascii="Cambria Math" w:hAnsi="Cambria Math"/>
                              <w:sz w:val="24"/>
                              <w:szCs w:val="24"/>
                            </w:rPr>
                          </m:ctrlPr>
                        </m:e>
                      </m:d>
                      <m:ctrlPr>
                        <w:rPr>
                          <w:rFonts w:ascii="Cambria Math" w:hAnsi="Cambria Math"/>
                          <w:sz w:val="24"/>
                          <w:szCs w:val="24"/>
                        </w:rPr>
                      </m:ctrlPr>
                    </m:e>
                  </m:func>
                  <m:ctrlPr>
                    <w:rPr>
                      <w:rFonts w:ascii="Cambria Math" w:hAnsi="Cambria Math"/>
                      <w:sz w:val="24"/>
                      <w:szCs w:val="24"/>
                    </w:rPr>
                  </m:ctrlPr>
                </m:e>
                <m:e>
                  <m:sSup>
                    <m:sSupPr>
                      <m:ctrlPr>
                        <w:rPr>
                          <w:rFonts w:ascii="Cambria Math" w:hAnsi="Cambria Math"/>
                          <w:sz w:val="24"/>
                          <w:szCs w:val="24"/>
                        </w:rPr>
                      </m:ctrlPr>
                    </m:sSupPr>
                    <m:e>
                      <m:r>
                        <m:rPr>
                          <m:sty m:val="p"/>
                        </m:rPr>
                        <w:rPr>
                          <w:rFonts w:ascii="Cambria Math" w:hAnsi="Cambria Math"/>
                          <w:sz w:val="24"/>
                          <w:szCs w:val="24"/>
                        </w:rPr>
                        <m:t>A</m:t>
                      </m:r>
                      <m:ctrlPr>
                        <w:rPr>
                          <w:rFonts w:ascii="Cambria Math" w:hAnsi="Cambria Math"/>
                          <w:sz w:val="24"/>
                          <w:szCs w:val="24"/>
                        </w:rPr>
                      </m:ctrlPr>
                    </m:e>
                    <m:sup>
                      <m:r>
                        <m:rPr>
                          <m:sty m:val="p"/>
                        </m:rPr>
                        <w:rPr>
                          <w:rFonts w:ascii="Cambria Math" w:hAnsi="Cambria Math"/>
                          <w:sz w:val="24"/>
                          <w:szCs w:val="24"/>
                        </w:rPr>
                        <m:t>T</m:t>
                      </m:r>
                      <m:ctrlPr>
                        <w:rPr>
                          <w:rFonts w:ascii="Cambria Math" w:hAnsi="Cambria Math"/>
                          <w:sz w:val="24"/>
                          <w:szCs w:val="24"/>
                        </w:rPr>
                      </m:ctrlPr>
                    </m:sup>
                  </m:sSup>
                  <m:r>
                    <m:rPr>
                      <m:sty m:val="p"/>
                    </m:rPr>
                    <w:rPr>
                      <w:rFonts w:ascii="Cambria Math" w:hAnsi="Cambria Math"/>
                      <w:sz w:val="24"/>
                      <w:szCs w:val="24"/>
                    </w:rPr>
                    <m:t>ω≥</m:t>
                  </m:r>
                  <m:sSub>
                    <m:sSubPr>
                      <m:ctrlPr>
                        <w:rPr>
                          <w:rFonts w:ascii="Cambria Math" w:hAnsi="Cambria Math"/>
                          <w:sz w:val="24"/>
                          <w:szCs w:val="24"/>
                        </w:rPr>
                      </m:ctrlPr>
                    </m:sSubPr>
                    <m:e>
                      <m:r>
                        <m:rPr>
                          <m:sty m:val="p"/>
                        </m:rPr>
                        <w:rPr>
                          <w:rFonts w:ascii="Cambria Math" w:hAnsi="Cambria Math"/>
                          <w:sz w:val="24"/>
                          <w:szCs w:val="24"/>
                        </w:rPr>
                        <m:t>b</m:t>
                      </m:r>
                      <m:ctrlPr>
                        <w:rPr>
                          <w:rFonts w:ascii="Cambria Math" w:hAnsi="Cambria Math"/>
                          <w:sz w:val="24"/>
                          <w:szCs w:val="24"/>
                        </w:rPr>
                      </m:ctrlPr>
                    </m:e>
                    <m:sub>
                      <m:r>
                        <m:rPr>
                          <m:sty m:val="p"/>
                        </m:rPr>
                        <w:rPr>
                          <w:rFonts w:ascii="Cambria Math" w:hAnsi="Cambria Math"/>
                          <w:sz w:val="24"/>
                          <w:szCs w:val="24"/>
                        </w:rPr>
                        <m:t>0</m:t>
                      </m:r>
                      <m:ctrlPr>
                        <w:rPr>
                          <w:rFonts w:ascii="Cambria Math" w:hAnsi="Cambria Math"/>
                          <w:sz w:val="24"/>
                          <w:szCs w:val="24"/>
                        </w:rPr>
                      </m:ctrlPr>
                    </m:sub>
                  </m:sSub>
                  <m:ctrlPr>
                    <w:rPr>
                      <w:rFonts w:ascii="Cambria Math" w:hAnsi="Cambria Math"/>
                      <w:sz w:val="24"/>
                      <w:szCs w:val="24"/>
                    </w:rPr>
                  </m:ctrlPr>
                </m:e>
              </m:eqArr>
              <m:ctrlPr>
                <w:rPr>
                  <w:rFonts w:ascii="Cambria Math" w:hAnsi="Cambria Math"/>
                  <w:sz w:val="24"/>
                  <w:szCs w:val="24"/>
                </w:rPr>
              </m:ctrlPr>
            </m:e>
          </m:d>
        </m:oMath>
      </m:oMathPara>
    </w:p>
    <w:p>
      <w:pPr>
        <w:rPr>
          <w:sz w:val="24"/>
          <w:szCs w:val="24"/>
        </w:rPr>
      </w:pPr>
    </w:p>
    <w:p>
      <w:pPr>
        <w:rPr>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ω</m:t>
              </m:r>
              <m:ctrlPr>
                <w:rPr>
                  <w:rFonts w:ascii="Cambria Math" w:hAnsi="Cambria Math"/>
                  <w:sz w:val="24"/>
                  <w:szCs w:val="24"/>
                </w:rPr>
              </m:ctrlPr>
            </m:e>
            <m:sup>
              <m:r>
                <m:rPr>
                  <m:sty m:val="p"/>
                </m:rPr>
                <w:rPr>
                  <w:rFonts w:ascii="Cambria Math" w:hAnsi="Cambria Math"/>
                  <w:sz w:val="24"/>
                  <w:szCs w:val="24"/>
                </w:rPr>
                <m:t>T</m:t>
              </m:r>
              <m:ctrlPr>
                <w:rPr>
                  <w:rFonts w:ascii="Cambria Math" w:hAnsi="Cambria Math"/>
                  <w:sz w:val="24"/>
                  <w:szCs w:val="24"/>
                </w:rPr>
              </m:ctrlPr>
            </m:sup>
          </m:sSup>
          <m:r>
            <m:rPr>
              <m:sty m:val="p"/>
            </m:rPr>
            <w:rPr>
              <w:rFonts w:ascii="Cambria Math" w:hAnsi="Cambria Math"/>
              <w:sz w:val="24"/>
              <w:szCs w:val="24"/>
            </w:rPr>
            <m:t>Σω+λ</m:t>
          </m:r>
          <m:sSup>
            <m:sSupPr>
              <m:ctrlPr>
                <w:rPr>
                  <w:rFonts w:ascii="Cambria Math" w:hAnsi="Cambria Math"/>
                  <w:sz w:val="24"/>
                  <w:szCs w:val="24"/>
                </w:rPr>
              </m:ctrlPr>
            </m:sSupPr>
            <m:e>
              <m:d>
                <m:dPr>
                  <m:ctrlPr>
                    <w:rPr>
                      <w:rFonts w:ascii="Cambria Math" w:hAnsi="Cambria Math"/>
                      <w:sz w:val="24"/>
                      <w:szCs w:val="24"/>
                    </w:rPr>
                  </m:ctrlPr>
                </m:dPr>
                <m:e>
                  <m:r>
                    <m:rPr>
                      <m:sty m:val="p"/>
                    </m:rPr>
                    <w:rPr>
                      <w:rFonts w:ascii="Cambria Math" w:hAnsi="Cambria Math"/>
                      <w:sz w:val="24"/>
                      <w:szCs w:val="24"/>
                    </w:rPr>
                    <m:t>ω-</m:t>
                  </m:r>
                  <m:sSub>
                    <m:sSubPr>
                      <m:ctrlPr>
                        <w:rPr>
                          <w:rFonts w:ascii="Cambria Math" w:hAnsi="Cambria Math"/>
                          <w:sz w:val="24"/>
                          <w:szCs w:val="24"/>
                        </w:rPr>
                      </m:ctrlPr>
                    </m:sSubPr>
                    <m:e>
                      <m:r>
                        <m:rPr>
                          <m:sty m:val="p"/>
                        </m:rPr>
                        <w:rPr>
                          <w:rFonts w:ascii="Cambria Math" w:hAnsi="Cambria Math"/>
                          <w:sz w:val="24"/>
                          <w:szCs w:val="24"/>
                        </w:rPr>
                        <m:t>ω</m:t>
                      </m:r>
                      <m:ctrlPr>
                        <w:rPr>
                          <w:rFonts w:ascii="Cambria Math" w:hAnsi="Cambria Math"/>
                          <w:sz w:val="24"/>
                          <w:szCs w:val="24"/>
                        </w:rPr>
                      </m:ctrlPr>
                    </m:e>
                    <m:sub>
                      <m:r>
                        <m:rPr>
                          <m:sty m:val="p"/>
                        </m:rPr>
                        <w:rPr>
                          <w:rFonts w:ascii="Cambria Math" w:hAnsi="Cambria Math"/>
                          <w:sz w:val="24"/>
                          <w:szCs w:val="24"/>
                        </w:rPr>
                        <m:t>p</m:t>
                      </m:r>
                      <m:ctrlPr>
                        <w:rPr>
                          <w:rFonts w:ascii="Cambria Math" w:hAnsi="Cambria Math"/>
                          <w:sz w:val="24"/>
                          <w:szCs w:val="24"/>
                        </w:rPr>
                      </m:ctrlPr>
                    </m:sub>
                  </m:sSub>
                  <m:ctrlPr>
                    <w:rPr>
                      <w:rFonts w:ascii="Cambria Math" w:hAnsi="Cambria Math"/>
                      <w:sz w:val="24"/>
                      <w:szCs w:val="24"/>
                    </w:rPr>
                  </m:ctrlPr>
                </m:e>
              </m:d>
              <m:ctrlPr>
                <w:rPr>
                  <w:rFonts w:ascii="Cambria Math" w:hAnsi="Cambria Math"/>
                  <w:sz w:val="24"/>
                  <w:szCs w:val="24"/>
                </w:rPr>
              </m:ctrlPr>
            </m:e>
            <m:sup>
              <m:r>
                <m:rPr>
                  <m:sty m:val="p"/>
                </m:rPr>
                <w:rPr>
                  <w:rFonts w:ascii="Cambria Math" w:hAnsi="Cambria Math"/>
                  <w:sz w:val="24"/>
                  <w:szCs w:val="24"/>
                </w:rPr>
                <m:t>T</m:t>
              </m:r>
              <m:ctrlPr>
                <w:rPr>
                  <w:rFonts w:ascii="Cambria Math" w:hAnsi="Cambria Math"/>
                  <w:sz w:val="24"/>
                  <w:szCs w:val="24"/>
                </w:rPr>
              </m:ctrlPr>
            </m:sup>
          </m:sSup>
          <m:r>
            <m:rPr>
              <m:sty m:val="p"/>
            </m:rPr>
            <w:rPr>
              <w:rFonts w:ascii="Cambria Math" w:hAnsi="Cambria Math"/>
              <w:sz w:val="24"/>
              <w:szCs w:val="24"/>
            </w:rPr>
            <m:t>Q</m:t>
          </m:r>
          <m:d>
            <m:dPr>
              <m:ctrlPr>
                <w:rPr>
                  <w:rFonts w:ascii="Cambria Math" w:hAnsi="Cambria Math"/>
                  <w:sz w:val="24"/>
                  <w:szCs w:val="24"/>
                </w:rPr>
              </m:ctrlPr>
            </m:dPr>
            <m:e>
              <m:r>
                <m:rPr>
                  <m:sty m:val="p"/>
                </m:rPr>
                <w:rPr>
                  <w:rFonts w:ascii="Cambria Math" w:hAnsi="Cambria Math"/>
                  <w:sz w:val="24"/>
                  <w:szCs w:val="24"/>
                </w:rPr>
                <m:t>ω-</m:t>
              </m:r>
              <m:sSub>
                <m:sSubPr>
                  <m:ctrlPr>
                    <w:rPr>
                      <w:rFonts w:ascii="Cambria Math" w:hAnsi="Cambria Math"/>
                      <w:sz w:val="24"/>
                      <w:szCs w:val="24"/>
                    </w:rPr>
                  </m:ctrlPr>
                </m:sSubPr>
                <m:e>
                  <m:r>
                    <m:rPr>
                      <m:sty m:val="p"/>
                    </m:rPr>
                    <w:rPr>
                      <w:rFonts w:ascii="Cambria Math" w:hAnsi="Cambria Math"/>
                      <w:sz w:val="24"/>
                      <w:szCs w:val="24"/>
                    </w:rPr>
                    <m:t>ω</m:t>
                  </m:r>
                  <m:ctrlPr>
                    <w:rPr>
                      <w:rFonts w:ascii="Cambria Math" w:hAnsi="Cambria Math"/>
                      <w:sz w:val="24"/>
                      <w:szCs w:val="24"/>
                    </w:rPr>
                  </m:ctrlPr>
                </m:e>
                <m:sub>
                  <m:r>
                    <m:rPr>
                      <m:sty m:val="p"/>
                    </m:rPr>
                    <w:rPr>
                      <w:rFonts w:ascii="Cambria Math" w:hAnsi="Cambria Math"/>
                      <w:sz w:val="24"/>
                      <w:szCs w:val="24"/>
                    </w:rPr>
                    <m:t>p</m:t>
                  </m:r>
                  <m:ctrlPr>
                    <w:rPr>
                      <w:rFonts w:ascii="Cambria Math" w:hAnsi="Cambria Math"/>
                      <w:sz w:val="24"/>
                      <w:szCs w:val="24"/>
                    </w:rPr>
                  </m:ctrlPr>
                </m:sub>
              </m:sSub>
              <m:ctrlPr>
                <w:rPr>
                  <w:rFonts w:ascii="Cambria Math" w:hAnsi="Cambria Math"/>
                  <w:sz w:val="24"/>
                  <w:szCs w:val="24"/>
                </w:rPr>
              </m:ctrlPr>
            </m:e>
          </m:d>
        </m:oMath>
      </m:oMathPara>
    </w:p>
    <w:p>
      <w:pPr>
        <w:jc w:val="center"/>
        <w:rPr>
          <w:sz w:val="24"/>
          <w:szCs w:val="24"/>
        </w:rPr>
      </w:pPr>
      <w:r>
        <w:rPr>
          <w:rFonts w:hint="eastAsia"/>
          <w:sz w:val="24"/>
          <w:szCs w:val="24"/>
        </w:rPr>
        <w:t>=</w:t>
      </w:r>
      <m:oMath>
        <m:sSup>
          <m:sSupPr>
            <m:ctrlPr>
              <w:rPr>
                <w:rFonts w:ascii="Cambria Math" w:hAnsi="Cambria Math"/>
                <w:sz w:val="24"/>
                <w:szCs w:val="24"/>
              </w:rPr>
            </m:ctrlPr>
          </m:sSupPr>
          <m:e>
            <m:r>
              <m:rPr>
                <m:sty m:val="p"/>
              </m:rPr>
              <w:rPr>
                <w:rFonts w:ascii="Cambria Math" w:hAnsi="Cambria Math"/>
                <w:sz w:val="24"/>
                <w:szCs w:val="24"/>
              </w:rPr>
              <m:t>ω</m:t>
            </m:r>
            <m:ctrlPr>
              <w:rPr>
                <w:rFonts w:ascii="Cambria Math" w:hAnsi="Cambria Math"/>
                <w:sz w:val="24"/>
                <w:szCs w:val="24"/>
              </w:rPr>
            </m:ctrlPr>
          </m:e>
          <m:sup>
            <m:r>
              <m:rPr>
                <m:sty m:val="p"/>
              </m:rPr>
              <w:rPr>
                <w:rFonts w:ascii="Cambria Math" w:hAnsi="Cambria Math"/>
                <w:sz w:val="24"/>
                <w:szCs w:val="24"/>
              </w:rPr>
              <m:t>T</m:t>
            </m:r>
            <m:ctrlPr>
              <w:rPr>
                <w:rFonts w:ascii="Cambria Math" w:hAnsi="Cambria Math"/>
                <w:sz w:val="24"/>
                <w:szCs w:val="24"/>
              </w:rPr>
            </m:ctrlPr>
          </m:sup>
        </m:sSup>
        <m:d>
          <m:dPr>
            <m:ctrlPr>
              <w:rPr>
                <w:rFonts w:ascii="Cambria Math" w:hAnsi="Cambria Math"/>
                <w:sz w:val="24"/>
                <w:szCs w:val="24"/>
              </w:rPr>
            </m:ctrlPr>
          </m:dPr>
          <m:e>
            <m:r>
              <m:rPr>
                <m:sty m:val="p"/>
              </m:rPr>
              <w:rPr>
                <w:rFonts w:ascii="Cambria Math" w:hAnsi="Cambria Math"/>
                <w:sz w:val="24"/>
                <w:szCs w:val="24"/>
              </w:rPr>
              <m:t>Σ+λQ</m:t>
            </m:r>
            <m:ctrlPr>
              <w:rPr>
                <w:rFonts w:ascii="Cambria Math" w:hAnsi="Cambria Math"/>
                <w:sz w:val="24"/>
                <w:szCs w:val="24"/>
              </w:rPr>
            </m:ctrlPr>
          </m:e>
        </m:d>
        <m:r>
          <m:rPr>
            <m:sty m:val="p"/>
          </m:rPr>
          <w:rPr>
            <w:rFonts w:ascii="Cambria Math" w:hAnsi="Cambria Math"/>
            <w:sz w:val="24"/>
            <w:szCs w:val="24"/>
          </w:rPr>
          <m:t>ω-2λ</m:t>
        </m:r>
        <m:sSubSup>
          <m:sSubSupPr>
            <m:ctrlPr>
              <w:rPr>
                <w:rFonts w:ascii="Cambria Math" w:hAnsi="Cambria Math"/>
                <w:sz w:val="24"/>
                <w:szCs w:val="24"/>
              </w:rPr>
            </m:ctrlPr>
          </m:sSubSupPr>
          <m:e>
            <m:r>
              <m:rPr>
                <m:sty m:val="p"/>
              </m:rPr>
              <w:rPr>
                <w:rFonts w:ascii="Cambria Math" w:hAnsi="Cambria Math"/>
                <w:sz w:val="24"/>
                <w:szCs w:val="24"/>
              </w:rPr>
              <m:t>ω</m:t>
            </m:r>
            <m:ctrlPr>
              <w:rPr>
                <w:rFonts w:ascii="Cambria Math" w:hAnsi="Cambria Math"/>
                <w:sz w:val="24"/>
                <w:szCs w:val="24"/>
              </w:rPr>
            </m:ctrlPr>
          </m:e>
          <m:sub>
            <m:r>
              <m:rPr>
                <m:sty m:val="p"/>
              </m:rPr>
              <w:rPr>
                <w:rFonts w:ascii="Cambria Math" w:hAnsi="Cambria Math"/>
                <w:sz w:val="24"/>
                <w:szCs w:val="24"/>
              </w:rPr>
              <m:t>p</m:t>
            </m:r>
            <m:ctrlPr>
              <w:rPr>
                <w:rFonts w:ascii="Cambria Math" w:hAnsi="Cambria Math"/>
                <w:sz w:val="24"/>
                <w:szCs w:val="24"/>
              </w:rPr>
            </m:ctrlPr>
          </m:sub>
          <m:sup>
            <m:r>
              <m:rPr>
                <m:sty m:val="p"/>
              </m:rPr>
              <w:rPr>
                <w:rFonts w:ascii="Cambria Math" w:hAnsi="Cambria Math"/>
                <w:sz w:val="24"/>
                <w:szCs w:val="24"/>
              </w:rPr>
              <m:t>T</m:t>
            </m:r>
            <m:ctrlPr>
              <w:rPr>
                <w:rFonts w:ascii="Cambria Math" w:hAnsi="Cambria Math"/>
                <w:sz w:val="24"/>
                <w:szCs w:val="24"/>
              </w:rPr>
            </m:ctrlPr>
          </m:sup>
        </m:sSubSup>
        <m:r>
          <m:rPr>
            <m:sty m:val="p"/>
          </m:rPr>
          <w:rPr>
            <w:rFonts w:ascii="Cambria Math" w:hAnsi="Cambria Math"/>
            <w:sz w:val="24"/>
            <w:szCs w:val="24"/>
          </w:rPr>
          <m:t>Qω+λω</m:t>
        </m:r>
        <m:sSup>
          <m:sSupPr>
            <m:ctrlPr>
              <w:rPr>
                <w:rFonts w:ascii="Cambria Math" w:hAnsi="Cambria Math"/>
                <w:sz w:val="24"/>
                <w:szCs w:val="24"/>
              </w:rPr>
            </m:ctrlPr>
          </m:sSupPr>
          <m:e>
            <m:r>
              <m:rPr>
                <m:sty m:val="p"/>
              </m:rPr>
              <w:rPr>
                <w:rFonts w:ascii="Cambria Math" w:hAnsi="Cambria Math"/>
                <w:sz w:val="24"/>
                <w:szCs w:val="24"/>
              </w:rPr>
              <m:t>p</m:t>
            </m:r>
            <m:ctrlPr>
              <w:rPr>
                <w:rFonts w:ascii="Cambria Math" w:hAnsi="Cambria Math"/>
                <w:sz w:val="24"/>
                <w:szCs w:val="24"/>
              </w:rPr>
            </m:ctrlPr>
          </m:e>
          <m:sup>
            <m:r>
              <m:rPr>
                <m:sty m:val="p"/>
              </m:rPr>
              <w:rPr>
                <w:rFonts w:ascii="Cambria Math" w:hAnsi="Cambria Math"/>
                <w:sz w:val="24"/>
                <w:szCs w:val="24"/>
              </w:rPr>
              <m:t>T</m:t>
            </m:r>
            <m:ctrlPr>
              <w:rPr>
                <w:rFonts w:ascii="Cambria Math" w:hAnsi="Cambria Math"/>
                <w:sz w:val="24"/>
                <w:szCs w:val="24"/>
              </w:rPr>
            </m:ctrlPr>
          </m:sup>
        </m:sSup>
        <m:r>
          <m:rPr>
            <m:sty m:val="p"/>
          </m:rPr>
          <w:rPr>
            <w:rFonts w:ascii="Cambria Math" w:hAnsi="Cambria Math"/>
            <w:sz w:val="24"/>
            <w:szCs w:val="24"/>
          </w:rPr>
          <m:t>Q</m:t>
        </m:r>
        <m:sSub>
          <m:sSubPr>
            <m:ctrlPr>
              <w:rPr>
                <w:rFonts w:ascii="Cambria Math" w:hAnsi="Cambria Math"/>
                <w:sz w:val="24"/>
                <w:szCs w:val="24"/>
              </w:rPr>
            </m:ctrlPr>
          </m:sSubPr>
          <m:e>
            <m:r>
              <m:rPr>
                <m:sty m:val="p"/>
              </m:rPr>
              <w:rPr>
                <w:rFonts w:ascii="Cambria Math" w:hAnsi="Cambria Math"/>
                <w:sz w:val="24"/>
                <w:szCs w:val="24"/>
              </w:rPr>
              <m:t>ω</m:t>
            </m:r>
            <m:ctrlPr>
              <w:rPr>
                <w:rFonts w:ascii="Cambria Math" w:hAnsi="Cambria Math"/>
                <w:sz w:val="24"/>
                <w:szCs w:val="24"/>
              </w:rPr>
            </m:ctrlPr>
          </m:e>
          <m:sub>
            <m:r>
              <m:rPr>
                <m:sty m:val="p"/>
              </m:rPr>
              <w:rPr>
                <w:rFonts w:ascii="Cambria Math" w:hAnsi="Cambria Math"/>
                <w:sz w:val="24"/>
                <w:szCs w:val="24"/>
              </w:rPr>
              <m:t>P</m:t>
            </m:r>
            <m:ctrlPr>
              <w:rPr>
                <w:rFonts w:ascii="Cambria Math" w:hAnsi="Cambria Math"/>
                <w:sz w:val="24"/>
                <w:szCs w:val="24"/>
              </w:rPr>
            </m:ctrlPr>
          </m:sub>
        </m:sSub>
      </m:oMath>
    </w:p>
    <w:p>
      <w:pPr>
        <w:rPr>
          <w:sz w:val="24"/>
          <w:szCs w:val="24"/>
        </w:rPr>
      </w:pPr>
      <m:oMathPara>
        <m:oMath>
          <m:r>
            <m:rPr>
              <m:sty m:val="p"/>
            </m:rPr>
            <w:rPr>
              <w:rFonts w:ascii="Cambria Math" w:hAnsi="Cambria Math"/>
              <w:sz w:val="24"/>
              <w:szCs w:val="24"/>
            </w:rPr>
            <m:t>⇒Σ+λQ</m:t>
          </m:r>
          <m:r>
            <m:rPr>
              <m:sty m:val="p"/>
            </m:rPr>
            <w:rPr>
              <w:rFonts w:hint="eastAsia" w:ascii="Cambria Math" w:hAnsi="Cambria Math"/>
              <w:sz w:val="24"/>
              <w:szCs w:val="24"/>
            </w:rPr>
            <m:t>=</m:t>
          </m:r>
          <m:r>
            <m:rPr>
              <m:sty m:val="p"/>
            </m:rPr>
            <w:rPr>
              <w:rFonts w:ascii="Cambria Math" w:hAnsi="Cambria Math"/>
              <w:sz w:val="24"/>
              <w:szCs w:val="24"/>
            </w:rPr>
            <m:t>D and 2λ</m:t>
          </m:r>
          <m:sSubSup>
            <m:sSubSupPr>
              <m:ctrlPr>
                <w:rPr>
                  <w:rFonts w:ascii="Cambria Math" w:hAnsi="Cambria Math"/>
                  <w:sz w:val="24"/>
                  <w:szCs w:val="24"/>
                </w:rPr>
              </m:ctrlPr>
            </m:sSubSupPr>
            <m:e>
              <m:r>
                <m:rPr>
                  <m:sty m:val="p"/>
                </m:rPr>
                <w:rPr>
                  <w:rFonts w:ascii="Cambria Math" w:hAnsi="Cambria Math"/>
                  <w:sz w:val="24"/>
                  <w:szCs w:val="24"/>
                </w:rPr>
                <m:t>ω</m:t>
              </m:r>
              <m:ctrlPr>
                <w:rPr>
                  <w:rFonts w:ascii="Cambria Math" w:hAnsi="Cambria Math"/>
                  <w:sz w:val="24"/>
                  <w:szCs w:val="24"/>
                </w:rPr>
              </m:ctrlPr>
            </m:e>
            <m:sub>
              <m:r>
                <m:rPr>
                  <m:sty m:val="p"/>
                </m:rPr>
                <w:rPr>
                  <w:rFonts w:ascii="Cambria Math" w:hAnsi="Cambria Math"/>
                  <w:sz w:val="24"/>
                  <w:szCs w:val="24"/>
                </w:rPr>
                <m:t>p</m:t>
              </m:r>
              <m:ctrlPr>
                <w:rPr>
                  <w:rFonts w:ascii="Cambria Math" w:hAnsi="Cambria Math"/>
                  <w:sz w:val="24"/>
                  <w:szCs w:val="24"/>
                </w:rPr>
              </m:ctrlPr>
            </m:sub>
            <m:sup>
              <m:r>
                <m:rPr>
                  <m:sty m:val="p"/>
                </m:rPr>
                <w:rPr>
                  <w:rFonts w:ascii="Cambria Math" w:hAnsi="Cambria Math"/>
                  <w:sz w:val="24"/>
                  <w:szCs w:val="24"/>
                </w:rPr>
                <m:t>T</m:t>
              </m:r>
              <m:ctrlPr>
                <w:rPr>
                  <w:rFonts w:ascii="Cambria Math" w:hAnsi="Cambria Math"/>
                  <w:sz w:val="24"/>
                  <w:szCs w:val="24"/>
                </w:rPr>
              </m:ctrlPr>
            </m:sup>
          </m:sSubSup>
          <m:r>
            <m:rPr>
              <m:sty m:val="p"/>
            </m:rPr>
            <w:rPr>
              <w:rFonts w:ascii="Cambria Math" w:hAnsi="Cambria Math"/>
              <w:sz w:val="24"/>
              <w:szCs w:val="24"/>
            </w:rPr>
            <m:t>Q=</m:t>
          </m:r>
          <m:sSup>
            <m:sSupPr>
              <m:ctrlPr>
                <w:rPr>
                  <w:rFonts w:ascii="Cambria Math" w:hAnsi="Cambria Math"/>
                  <w:sz w:val="24"/>
                  <w:szCs w:val="24"/>
                </w:rPr>
              </m:ctrlPr>
            </m:sSupPr>
            <m:e>
              <m:r>
                <m:rPr>
                  <m:sty m:val="p"/>
                </m:rPr>
                <w:rPr>
                  <w:rFonts w:ascii="Cambria Math" w:hAnsi="Cambria Math"/>
                  <w:sz w:val="24"/>
                  <w:szCs w:val="24"/>
                </w:rPr>
                <m:t>ⅆ</m:t>
              </m:r>
              <m:ctrlPr>
                <w:rPr>
                  <w:rFonts w:ascii="Cambria Math" w:hAnsi="Cambria Math"/>
                  <w:sz w:val="24"/>
                  <w:szCs w:val="24"/>
                </w:rPr>
              </m:ctrlPr>
            </m:e>
            <m:sup>
              <m:r>
                <m:rPr>
                  <m:sty m:val="p"/>
                </m:rPr>
                <w:rPr>
                  <w:rFonts w:ascii="Cambria Math" w:hAnsi="Cambria Math"/>
                  <w:sz w:val="24"/>
                  <w:szCs w:val="24"/>
                </w:rPr>
                <m:t>T</m:t>
              </m:r>
              <m:ctrlPr>
                <w:rPr>
                  <w:rFonts w:ascii="Cambria Math" w:hAnsi="Cambria Math"/>
                  <w:sz w:val="24"/>
                  <w:szCs w:val="24"/>
                </w:rPr>
              </m:ctrlPr>
            </m:sup>
          </m:sSup>
        </m:oMath>
      </m:oMathPara>
    </w:p>
    <w:p>
      <w:pPr>
        <w:pStyle w:val="2"/>
      </w:pPr>
      <w:r>
        <w:rPr>
          <w:sz w:val="30"/>
          <w:szCs w:val="30"/>
        </w:rPr>
        <w:t>4.Performance and Risk Repor</w:t>
      </w:r>
      <w:r>
        <w:rPr>
          <w:rFonts w:hint="eastAsia"/>
          <w:sz w:val="30"/>
          <w:szCs w:val="30"/>
        </w:rPr>
        <w:t>t</w:t>
      </w:r>
    </w:p>
    <w:p>
      <w:pPr>
        <w:pStyle w:val="3"/>
      </w:pPr>
      <w:r>
        <w:rPr>
          <w:rFonts w:hint="eastAsia"/>
          <w:sz w:val="28"/>
          <w:szCs w:val="28"/>
        </w:rPr>
        <w:t>4.1</w:t>
      </w:r>
      <w:r>
        <w:rPr>
          <w:sz w:val="28"/>
          <w:szCs w:val="28"/>
        </w:rPr>
        <w:t xml:space="preserve"> The return of portfolio</w:t>
      </w:r>
      <w:r>
        <w:rPr>
          <w:rFonts w:hint="eastAsia"/>
          <w:sz w:val="28"/>
          <w:szCs w:val="28"/>
        </w:rPr>
        <w:t>s</w:t>
      </w:r>
      <w:r>
        <w:rPr>
          <w:sz w:val="28"/>
          <w:szCs w:val="28"/>
        </w:rPr>
        <w:t xml:space="preserve"> under three different periods with beta of 0.5,1,1.5</w:t>
      </w:r>
    </w:p>
    <w:p>
      <w:pPr>
        <w:rPr>
          <w:sz w:val="24"/>
        </w:rPr>
      </w:pPr>
      <w:r>
        <w:drawing>
          <wp:inline distT="0" distB="0" distL="0" distR="0">
            <wp:extent cx="4667250" cy="3888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667250" cy="3888740"/>
                    </a:xfrm>
                    <a:prstGeom prst="rect">
                      <a:avLst/>
                    </a:prstGeom>
                    <a:noFill/>
                    <a:ln>
                      <a:noFill/>
                    </a:ln>
                    <a:effectLst/>
                  </pic:spPr>
                </pic:pic>
              </a:graphicData>
            </a:graphic>
          </wp:inline>
        </w:drawing>
      </w:r>
    </w:p>
    <w:p>
      <w:pPr>
        <w:ind w:firstLine="1920" w:firstLineChars="800"/>
        <w:jc w:val="both"/>
      </w:pPr>
      <w:r>
        <w:rPr>
          <w:sz w:val="24"/>
          <w:szCs w:val="24"/>
        </w:rPr>
        <w:t>Figure 1   The return of portfolio before crisis</w:t>
      </w:r>
    </w:p>
    <w:p/>
    <w:p>
      <w:pPr>
        <w:jc w:val="left"/>
      </w:pPr>
      <w:r>
        <w:rPr>
          <w:sz w:val="20"/>
        </w:rPr>
        <w:drawing>
          <wp:inline distT="0" distB="0" distL="0" distR="0">
            <wp:extent cx="4689475" cy="39471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689475" cy="3947160"/>
                    </a:xfrm>
                    <a:prstGeom prst="rect">
                      <a:avLst/>
                    </a:prstGeom>
                    <a:noFill/>
                    <a:ln>
                      <a:noFill/>
                    </a:ln>
                  </pic:spPr>
                </pic:pic>
              </a:graphicData>
            </a:graphic>
          </wp:inline>
        </w:drawing>
      </w:r>
    </w:p>
    <w:p>
      <w:pPr>
        <w:ind w:firstLine="1680" w:firstLineChars="700"/>
        <w:jc w:val="both"/>
      </w:pPr>
      <w:r>
        <w:rPr>
          <w:sz w:val="24"/>
          <w:szCs w:val="24"/>
        </w:rPr>
        <w:t xml:space="preserve">Figure 2   The return of portfolio </w:t>
      </w:r>
      <w:r>
        <w:rPr>
          <w:rFonts w:hint="eastAsia"/>
          <w:sz w:val="24"/>
          <w:szCs w:val="24"/>
        </w:rPr>
        <w:t>during</w:t>
      </w:r>
      <w:r>
        <w:rPr>
          <w:sz w:val="24"/>
          <w:szCs w:val="24"/>
        </w:rPr>
        <w:t xml:space="preserve"> crisis</w:t>
      </w:r>
    </w:p>
    <w:p>
      <w:pPr>
        <w:rPr>
          <w:sz w:val="24"/>
        </w:rPr>
      </w:pPr>
    </w:p>
    <w:p>
      <w:pPr>
        <w:rPr>
          <w:sz w:val="24"/>
        </w:rPr>
      </w:pPr>
    </w:p>
    <w:p>
      <w:r>
        <w:drawing>
          <wp:inline distT="0" distB="0" distL="0" distR="0">
            <wp:extent cx="4897755" cy="39516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897755" cy="3951605"/>
                    </a:xfrm>
                    <a:prstGeom prst="rect">
                      <a:avLst/>
                    </a:prstGeom>
                    <a:noFill/>
                    <a:ln>
                      <a:noFill/>
                    </a:ln>
                  </pic:spPr>
                </pic:pic>
              </a:graphicData>
            </a:graphic>
          </wp:inline>
        </w:drawing>
      </w:r>
    </w:p>
    <w:p>
      <w:pPr>
        <w:ind w:firstLine="2160" w:firstLineChars="900"/>
        <w:jc w:val="both"/>
      </w:pPr>
      <w:r>
        <w:rPr>
          <w:rFonts w:hint="eastAsia"/>
          <w:sz w:val="24"/>
          <w:szCs w:val="24"/>
        </w:rPr>
        <w:t xml:space="preserve">Figure </w:t>
      </w:r>
      <w:r>
        <w:rPr>
          <w:sz w:val="24"/>
          <w:szCs w:val="24"/>
        </w:rPr>
        <w:t xml:space="preserve">3  </w:t>
      </w:r>
      <w:r>
        <w:rPr>
          <w:rFonts w:hint="eastAsia"/>
          <w:sz w:val="24"/>
          <w:szCs w:val="24"/>
        </w:rPr>
        <w:t xml:space="preserve"> The return of portfolio after crisis</w:t>
      </w:r>
    </w:p>
    <w:p>
      <w:pPr>
        <w:rPr>
          <w:sz w:val="24"/>
        </w:rPr>
      </w:pPr>
    </w:p>
    <w:p>
      <w:r>
        <w:rPr>
          <w:rFonts w:hint="eastAsia"/>
          <w:sz w:val="24"/>
          <w:szCs w:val="24"/>
        </w:rPr>
        <w:t>B</w:t>
      </w:r>
      <w:r>
        <w:rPr>
          <w:sz w:val="24"/>
          <w:szCs w:val="24"/>
        </w:rPr>
        <w:t xml:space="preserve">y comparing the return of portfolio in three different periods, </w:t>
      </w:r>
      <w:r>
        <w:rPr>
          <w:rFonts w:hint="eastAsia"/>
          <w:sz w:val="24"/>
          <w:szCs w:val="24"/>
        </w:rPr>
        <w:t>w</w:t>
      </w:r>
      <w:r>
        <w:rPr>
          <w:sz w:val="24"/>
          <w:szCs w:val="24"/>
        </w:rPr>
        <w:t xml:space="preserve">e </w:t>
      </w:r>
      <w:r>
        <w:rPr>
          <w:rFonts w:hint="eastAsia"/>
          <w:sz w:val="24"/>
          <w:szCs w:val="24"/>
        </w:rPr>
        <w:t>can find</w:t>
      </w:r>
      <w:r>
        <w:rPr>
          <w:sz w:val="24"/>
          <w:szCs w:val="24"/>
        </w:rPr>
        <w:t xml:space="preserve"> that</w:t>
      </w:r>
      <w:r>
        <w:rPr>
          <w:rFonts w:hint="eastAsia"/>
          <w:sz w:val="24"/>
          <w:szCs w:val="24"/>
        </w:rPr>
        <w:t xml:space="preserve"> </w:t>
      </w:r>
      <w:r>
        <w:rPr>
          <w:sz w:val="24"/>
          <w:szCs w:val="24"/>
        </w:rPr>
        <w:t>there is one extreme return with relatively</w:t>
      </w:r>
      <w:r>
        <w:rPr>
          <w:rFonts w:hint="eastAsia"/>
          <w:sz w:val="24"/>
          <w:szCs w:val="24"/>
        </w:rPr>
        <w:t xml:space="preserve"> </w:t>
      </w:r>
      <w:r>
        <w:rPr>
          <w:sz w:val="24"/>
          <w:szCs w:val="24"/>
        </w:rPr>
        <w:t>large and absolute value during the crisis. While after the crisis, the return would go back to the normal standard level at</w:t>
      </w:r>
      <w:r>
        <w:rPr>
          <w:rFonts w:hint="eastAsia"/>
          <w:sz w:val="24"/>
          <w:szCs w:val="24"/>
        </w:rPr>
        <w:t xml:space="preserve"> </w:t>
      </w:r>
      <w:r>
        <w:rPr>
          <w:sz w:val="24"/>
          <w:szCs w:val="24"/>
        </w:rPr>
        <w:t xml:space="preserve">that time, which is violating </w:t>
      </w:r>
      <w:r>
        <w:rPr>
          <w:rFonts w:hint="eastAsia"/>
          <w:sz w:val="24"/>
          <w:szCs w:val="24"/>
        </w:rPr>
        <w:t>around</w:t>
      </w:r>
      <w:r>
        <w:rPr>
          <w:sz w:val="24"/>
          <w:szCs w:val="24"/>
        </w:rPr>
        <w:t xml:space="preserve"> zero.</w:t>
      </w:r>
    </w:p>
    <w:p/>
    <w:p>
      <w:pPr>
        <w:pStyle w:val="3"/>
      </w:pPr>
      <w:r>
        <w:rPr>
          <w:sz w:val="28"/>
          <w:szCs w:val="28"/>
        </w:rPr>
        <w:t>4.2 Density distribution analysis</w:t>
      </w:r>
    </w:p>
    <w:p>
      <w:pPr>
        <w:rPr>
          <w:rFonts w:hint="eastAsia"/>
        </w:rPr>
      </w:pPr>
    </w:p>
    <w:p>
      <w:pPr>
        <w:rPr>
          <w:sz w:val="24"/>
          <w:szCs w:val="24"/>
        </w:rPr>
      </w:pPr>
      <w:r>
        <w:rPr>
          <w:rFonts w:hint="eastAsia"/>
          <w:sz w:val="24"/>
          <w:szCs w:val="24"/>
        </w:rPr>
        <w:t xml:space="preserve">Here, </w:t>
      </w:r>
      <w:r>
        <w:rPr>
          <w:sz w:val="24"/>
          <w:szCs w:val="24"/>
        </w:rPr>
        <w:t>we will pick up the return series of max model with target beta = 0.5 as an example</w:t>
      </w:r>
      <w:r>
        <w:rPr>
          <w:rFonts w:hint="eastAsia"/>
          <w:sz w:val="24"/>
          <w:szCs w:val="24"/>
        </w:rPr>
        <w:t>.</w:t>
      </w:r>
    </w:p>
    <w:p>
      <w:pPr>
        <w:rPr>
          <w:sz w:val="24"/>
        </w:rPr>
      </w:pPr>
    </w:p>
    <w:p>
      <w:pPr>
        <w:rPr>
          <w:sz w:val="20"/>
        </w:rPr>
      </w:pPr>
      <w:r>
        <w:drawing>
          <wp:anchor distT="0" distB="0" distL="0" distR="0" simplePos="0" relativeHeight="251660288" behindDoc="0" locked="0" layoutInCell="1" allowOverlap="1">
            <wp:simplePos x="0" y="0"/>
            <wp:positionH relativeFrom="page">
              <wp:align>center</wp:align>
            </wp:positionH>
            <wp:positionV relativeFrom="paragraph">
              <wp:posOffset>48260</wp:posOffset>
            </wp:positionV>
            <wp:extent cx="5618480" cy="4679315"/>
            <wp:effectExtent l="0" t="0" r="1270" b="698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618480" cy="4679315"/>
                    </a:xfrm>
                    <a:prstGeom prst="rect">
                      <a:avLst/>
                    </a:prstGeom>
                    <a:noFill/>
                    <a:ln>
                      <a:noFill/>
                    </a:ln>
                  </pic:spPr>
                </pic:pic>
              </a:graphicData>
            </a:graphic>
          </wp:anchor>
        </w:drawing>
      </w:r>
    </w:p>
    <w:p>
      <w:pPr>
        <w:jc w:val="center"/>
        <w:rPr>
          <w:sz w:val="20"/>
        </w:rPr>
      </w:pPr>
      <w:r>
        <w:rPr>
          <w:sz w:val="24"/>
          <w:szCs w:val="24"/>
        </w:rPr>
        <w:t xml:space="preserve">Figure 4   Return Distribution </w:t>
      </w:r>
      <w:r>
        <w:rPr>
          <w:rFonts w:hint="eastAsia"/>
          <w:sz w:val="24"/>
          <w:szCs w:val="24"/>
        </w:rPr>
        <w:t>Before</w:t>
      </w:r>
      <w:r>
        <w:rPr>
          <w:sz w:val="24"/>
          <w:szCs w:val="24"/>
        </w:rPr>
        <w:t xml:space="preserve"> Crisis</w:t>
      </w:r>
    </w:p>
    <w:p/>
    <w:p>
      <w:pPr>
        <w:jc w:val="center"/>
        <w:rPr>
          <w:i/>
          <w:sz w:val="24"/>
        </w:rPr>
      </w:pPr>
      <w:r>
        <w:rPr>
          <w:sz w:val="20"/>
        </w:rPr>
        <w:drawing>
          <wp:inline distT="0" distB="0" distL="0" distR="0">
            <wp:extent cx="5291455" cy="461264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91455" cy="4612640"/>
                    </a:xfrm>
                    <a:prstGeom prst="rect">
                      <a:avLst/>
                    </a:prstGeom>
                    <a:noFill/>
                    <a:ln>
                      <a:noFill/>
                    </a:ln>
                  </pic:spPr>
                </pic:pic>
              </a:graphicData>
            </a:graphic>
          </wp:inline>
        </w:drawing>
      </w:r>
    </w:p>
    <w:p>
      <w:pPr>
        <w:jc w:val="center"/>
      </w:pPr>
      <w:r>
        <w:rPr>
          <w:sz w:val="24"/>
          <w:szCs w:val="24"/>
        </w:rPr>
        <w:t>Figure 5   Return Distribution During Crisis</w:t>
      </w:r>
    </w:p>
    <w:p/>
    <w:p>
      <w:pPr>
        <w:rPr>
          <w:sz w:val="21"/>
        </w:rPr>
      </w:pPr>
      <w:r>
        <w:drawing>
          <wp:anchor distT="0" distB="0" distL="0" distR="0" simplePos="0" relativeHeight="251661312" behindDoc="0" locked="0" layoutInCell="1" allowOverlap="1">
            <wp:simplePos x="0" y="0"/>
            <wp:positionH relativeFrom="page">
              <wp:align>center</wp:align>
            </wp:positionH>
            <wp:positionV relativeFrom="paragraph">
              <wp:posOffset>109220</wp:posOffset>
            </wp:positionV>
            <wp:extent cx="5793105" cy="4950460"/>
            <wp:effectExtent l="0" t="0" r="0" b="254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793105" cy="4950460"/>
                    </a:xfrm>
                    <a:prstGeom prst="rect">
                      <a:avLst/>
                    </a:prstGeom>
                    <a:noFill/>
                    <a:ln>
                      <a:noFill/>
                    </a:ln>
                  </pic:spPr>
                </pic:pic>
              </a:graphicData>
            </a:graphic>
          </wp:anchor>
        </w:drawing>
      </w:r>
    </w:p>
    <w:p>
      <w:pPr>
        <w:jc w:val="center"/>
      </w:pPr>
      <w:r>
        <w:rPr>
          <w:sz w:val="24"/>
          <w:szCs w:val="24"/>
        </w:rPr>
        <w:t>Figure 6   Return Distribution After Crisis</w:t>
      </w:r>
    </w:p>
    <w:p>
      <w:pPr>
        <w:rPr>
          <w:sz w:val="24"/>
        </w:rPr>
      </w:pPr>
      <w:r>
        <w:drawing>
          <wp:anchor distT="0" distB="0" distL="114300" distR="114300" simplePos="0" relativeHeight="251659264" behindDoc="1" locked="1" layoutInCell="1" allowOverlap="1">
            <wp:simplePos x="0" y="0"/>
            <wp:positionH relativeFrom="page">
              <wp:posOffset>2057400</wp:posOffset>
            </wp:positionH>
            <wp:positionV relativeFrom="page">
              <wp:posOffset>914400</wp:posOffset>
            </wp:positionV>
            <wp:extent cx="3657600" cy="316357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657600" cy="3163570"/>
                    </a:xfrm>
                    <a:prstGeom prst="rect">
                      <a:avLst/>
                    </a:prstGeom>
                    <a:noFill/>
                    <a:ln>
                      <a:noFill/>
                    </a:ln>
                  </pic:spPr>
                </pic:pic>
              </a:graphicData>
            </a:graphic>
          </wp:anchor>
        </w:drawing>
      </w:r>
    </w:p>
    <w:p>
      <w:pPr>
        <w:rPr>
          <w:sz w:val="24"/>
          <w:szCs w:val="24"/>
        </w:rPr>
      </w:pPr>
      <w:r>
        <w:rPr>
          <w:sz w:val="24"/>
          <w:szCs w:val="24"/>
        </w:rPr>
        <w:t xml:space="preserve">From the plots above, it can be clearly seen that before the crisis, the distribution of return is similar to a Normal Distribution with mean equaling around to zero. </w:t>
      </w:r>
    </w:p>
    <w:p>
      <w:pPr>
        <w:rPr>
          <w:sz w:val="24"/>
          <w:szCs w:val="24"/>
        </w:rPr>
      </w:pPr>
    </w:p>
    <w:p>
      <w:r>
        <w:rPr>
          <w:sz w:val="24"/>
          <w:szCs w:val="24"/>
        </w:rPr>
        <w:t>However, when crisis broke out, the distribution during crisis is changed to be</w:t>
      </w:r>
      <w:r>
        <w:rPr>
          <w:rFonts w:hint="eastAsia"/>
          <w:sz w:val="24"/>
          <w:szCs w:val="24"/>
        </w:rPr>
        <w:t xml:space="preserve"> </w:t>
      </w:r>
      <w:r>
        <w:rPr>
          <w:sz w:val="24"/>
          <w:szCs w:val="24"/>
        </w:rPr>
        <w:t>left-skewed with mean return nearly zero, which means it has a negative skewness.</w:t>
      </w:r>
      <w:r>
        <w:rPr>
          <w:rFonts w:hint="eastAsia"/>
          <w:sz w:val="24"/>
          <w:szCs w:val="24"/>
          <w:lang w:val="en-US" w:eastAsia="zh-CN"/>
        </w:rPr>
        <w:t xml:space="preserve"> </w:t>
      </w:r>
      <w:r>
        <w:rPr>
          <w:sz w:val="24"/>
          <w:szCs w:val="24"/>
        </w:rPr>
        <w:t>And after that it will shift to right skewed distribution with mean zero.</w:t>
      </w:r>
    </w:p>
    <w:p/>
    <w:p>
      <w:pPr>
        <w:pStyle w:val="3"/>
      </w:pPr>
      <w:r>
        <w:rPr>
          <w:sz w:val="28"/>
          <w:szCs w:val="28"/>
        </w:rPr>
        <w:t>4.3 Comparison of cumulative returns</w:t>
      </w:r>
    </w:p>
    <w:p>
      <w:r>
        <w:drawing>
          <wp:inline distT="0" distB="0" distL="0" distR="0">
            <wp:extent cx="5943600" cy="30556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943600" cy="3055620"/>
                    </a:xfrm>
                    <a:prstGeom prst="rect">
                      <a:avLst/>
                    </a:prstGeom>
                    <a:noFill/>
                    <a:ln>
                      <a:noFill/>
                    </a:ln>
                  </pic:spPr>
                </pic:pic>
              </a:graphicData>
            </a:graphic>
          </wp:inline>
        </w:drawing>
      </w:r>
    </w:p>
    <w:p>
      <w:pPr>
        <w:jc w:val="center"/>
        <w:rPr>
          <w:sz w:val="24"/>
          <w:szCs w:val="24"/>
        </w:rPr>
      </w:pPr>
      <w:r>
        <w:rPr>
          <w:sz w:val="24"/>
          <w:szCs w:val="24"/>
        </w:rPr>
        <w:t xml:space="preserve">Figure 7   Cumulative Return in Different Period with </w:t>
      </w:r>
      <w:r>
        <w:rPr>
          <w:rFonts w:hint="eastAsia"/>
          <w:sz w:val="24"/>
          <w:szCs w:val="24"/>
        </w:rPr>
        <w:t>beta</w:t>
      </w:r>
      <w:r>
        <w:rPr>
          <w:sz w:val="24"/>
          <w:szCs w:val="24"/>
        </w:rPr>
        <w:t xml:space="preserve"> = 0.5</w:t>
      </w:r>
    </w:p>
    <w:p>
      <w:pPr>
        <w:jc w:val="center"/>
      </w:pPr>
      <w:r>
        <w:rPr>
          <w:sz w:val="24"/>
          <w:szCs w:val="24"/>
        </w:rPr>
        <w:t>(red line: short; blue line: mid; green line: long)</w:t>
      </w:r>
    </w:p>
    <w:p/>
    <w:p/>
    <w:p>
      <w:pPr>
        <w:rPr>
          <w:sz w:val="24"/>
        </w:rPr>
      </w:pPr>
      <w:r>
        <w:rPr>
          <w:sz w:val="24"/>
        </w:rPr>
        <w:drawing>
          <wp:inline distT="0" distB="0" distL="0" distR="0">
            <wp:extent cx="5273675" cy="2707005"/>
            <wp:effectExtent l="0" t="0" r="3175" b="0"/>
            <wp:docPr id="27" name="图片 27" descr="5175dc4e7162fd21adc8dbe1b40d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175dc4e7162fd21adc8dbe1b40da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5273675" cy="2707005"/>
                    </a:xfrm>
                    <a:prstGeom prst="rect">
                      <a:avLst/>
                    </a:prstGeom>
                    <a:noFill/>
                    <a:ln>
                      <a:noFill/>
                    </a:ln>
                  </pic:spPr>
                </pic:pic>
              </a:graphicData>
            </a:graphic>
          </wp:inline>
        </w:drawing>
      </w:r>
    </w:p>
    <w:p>
      <w:pPr>
        <w:jc w:val="center"/>
      </w:pPr>
      <w:r>
        <w:rPr>
          <w:sz w:val="24"/>
          <w:szCs w:val="24"/>
        </w:rPr>
        <w:t xml:space="preserve">Figure 8   Cumulative Return in Different Period with </w:t>
      </w:r>
      <w:r>
        <w:rPr>
          <w:rFonts w:hint="eastAsia"/>
          <w:sz w:val="24"/>
          <w:szCs w:val="24"/>
        </w:rPr>
        <w:t>beta</w:t>
      </w:r>
      <w:r>
        <w:rPr>
          <w:sz w:val="24"/>
          <w:szCs w:val="24"/>
        </w:rPr>
        <w:t xml:space="preserve"> = </w:t>
      </w:r>
      <w:r>
        <w:rPr>
          <w:rFonts w:hint="eastAsia"/>
          <w:sz w:val="24"/>
          <w:szCs w:val="24"/>
        </w:rPr>
        <w:t>1</w:t>
      </w:r>
    </w:p>
    <w:p>
      <w:pPr>
        <w:jc w:val="center"/>
      </w:pPr>
    </w:p>
    <w:p>
      <w:pPr>
        <w:rPr>
          <w:sz w:val="24"/>
        </w:rPr>
      </w:pPr>
      <w:r>
        <w:rPr>
          <w:sz w:val="24"/>
        </w:rPr>
        <w:drawing>
          <wp:inline distT="0" distB="0" distL="0" distR="0">
            <wp:extent cx="5273675" cy="2707005"/>
            <wp:effectExtent l="0" t="0" r="3175" b="0"/>
            <wp:docPr id="26" name="图片 26" descr="855aef8a26097cea6469d835c146c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55aef8a26097cea6469d835c146c7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5273675" cy="2707005"/>
                    </a:xfrm>
                    <a:prstGeom prst="rect">
                      <a:avLst/>
                    </a:prstGeom>
                    <a:noFill/>
                    <a:ln>
                      <a:noFill/>
                    </a:ln>
                  </pic:spPr>
                </pic:pic>
              </a:graphicData>
            </a:graphic>
          </wp:inline>
        </w:drawing>
      </w:r>
    </w:p>
    <w:p>
      <w:pPr>
        <w:jc w:val="center"/>
      </w:pPr>
      <w:r>
        <w:rPr>
          <w:sz w:val="24"/>
          <w:szCs w:val="24"/>
        </w:rPr>
        <w:t xml:space="preserve">Figure 9   Cumulative Return in Different Period with </w:t>
      </w:r>
      <w:r>
        <w:rPr>
          <w:rFonts w:hint="eastAsia"/>
          <w:sz w:val="24"/>
          <w:szCs w:val="24"/>
        </w:rPr>
        <w:t>beta</w:t>
      </w:r>
      <w:r>
        <w:rPr>
          <w:sz w:val="24"/>
          <w:szCs w:val="24"/>
        </w:rPr>
        <w:t xml:space="preserve"> = </w:t>
      </w:r>
      <w:r>
        <w:rPr>
          <w:rFonts w:hint="eastAsia"/>
          <w:sz w:val="24"/>
          <w:szCs w:val="24"/>
        </w:rPr>
        <w:t>1.5</w:t>
      </w:r>
    </w:p>
    <w:p>
      <w:pPr>
        <w:rPr>
          <w:sz w:val="24"/>
        </w:rPr>
      </w:pPr>
    </w:p>
    <w:p>
      <w:r>
        <w:rPr>
          <w:sz w:val="24"/>
          <w:szCs w:val="24"/>
        </w:rPr>
        <w:t>We can find that the plot</w:t>
      </w:r>
      <w:r>
        <w:rPr>
          <w:rFonts w:hint="eastAsia"/>
          <w:sz w:val="24"/>
          <w:szCs w:val="24"/>
        </w:rPr>
        <w:t>s</w:t>
      </w:r>
      <w:r>
        <w:rPr>
          <w:sz w:val="24"/>
          <w:szCs w:val="24"/>
        </w:rPr>
        <w:t xml:space="preserve"> of different target beta are quite similar.</w:t>
      </w:r>
    </w:p>
    <w:p/>
    <w:p>
      <w:pPr>
        <w:pStyle w:val="3"/>
      </w:pPr>
      <w:r>
        <w:rPr>
          <w:sz w:val="28"/>
          <w:szCs w:val="28"/>
        </w:rPr>
        <w:t>4.4 Statistical analysis</w:t>
      </w:r>
    </w:p>
    <w:p/>
    <w:p>
      <w:r>
        <w:rPr>
          <w:sz w:val="24"/>
          <w:szCs w:val="24"/>
        </w:rPr>
        <w:t>For better comparing 13 indexes, key statistics are computed for ETF. Below is the table presents a summary of different factors during the whole time period.</w:t>
      </w:r>
      <w:r>
        <w:t xml:space="preserve"> </w:t>
      </w:r>
    </w:p>
    <w:p/>
    <w:tbl>
      <w:tblPr>
        <w:tblStyle w:val="7"/>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shd w:val="clear" w:color="auto" w:fill="auto"/>
          </w:tcPr>
          <w:p>
            <w:pPr>
              <w:rPr>
                <w:sz w:val="24"/>
              </w:rPr>
            </w:pPr>
            <w:r>
              <w:drawing>
                <wp:inline distT="0" distB="0" distL="0" distR="0">
                  <wp:extent cx="5264785" cy="159321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264785" cy="159321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22" w:type="dxa"/>
            <w:shd w:val="clear" w:color="auto" w:fill="auto"/>
          </w:tcPr>
          <w:p>
            <w:pPr>
              <w:jc w:val="center"/>
              <w:rPr>
                <w:sz w:val="24"/>
              </w:rPr>
            </w:pPr>
            <w:r>
              <w:rPr>
                <w:sz w:val="24"/>
                <w:szCs w:val="24"/>
              </w:rPr>
              <w:t>Table 2   key statistics for ETF’s investment universe from 2007-2008</w:t>
            </w:r>
          </w:p>
        </w:tc>
      </w:tr>
    </w:tbl>
    <w:p>
      <w:pPr>
        <w:rPr>
          <w:sz w:val="24"/>
        </w:rPr>
      </w:pPr>
    </w:p>
    <w:p>
      <w:pPr>
        <w:rPr>
          <w:sz w:val="24"/>
        </w:rPr>
      </w:pPr>
      <w:r>
        <w:rPr>
          <w:sz w:val="24"/>
        </w:rPr>
        <w:t>Below are tables for key factors under different time periods:</w:t>
      </w:r>
    </w:p>
    <w:tbl>
      <w:tblPr>
        <w:tblStyle w:val="7"/>
        <w:tblW w:w="8526" w:type="dxa"/>
        <w:tblInd w:w="0" w:type="dxa"/>
        <w:tblLayout w:type="fixed"/>
        <w:tblCellMar>
          <w:top w:w="0" w:type="dxa"/>
          <w:left w:w="108" w:type="dxa"/>
          <w:bottom w:w="0" w:type="dxa"/>
          <w:right w:w="108" w:type="dxa"/>
        </w:tblCellMar>
      </w:tblPr>
      <w:tblGrid>
        <w:gridCol w:w="8526"/>
      </w:tblGrid>
      <w:tr>
        <w:tblPrEx>
          <w:tblLayout w:type="fixed"/>
          <w:tblCellMar>
            <w:top w:w="0" w:type="dxa"/>
            <w:left w:w="108" w:type="dxa"/>
            <w:bottom w:w="0" w:type="dxa"/>
            <w:right w:w="108" w:type="dxa"/>
          </w:tblCellMar>
        </w:tblPrEx>
        <w:tc>
          <w:tcPr>
            <w:tcW w:w="8526" w:type="dxa"/>
            <w:shd w:val="clear" w:color="auto" w:fill="auto"/>
          </w:tcPr>
          <w:p>
            <w:pPr>
              <w:rPr>
                <w:sz w:val="24"/>
              </w:rPr>
            </w:pPr>
            <w:r>
              <w:rPr>
                <w:sz w:val="24"/>
              </w:rPr>
              <w:drawing>
                <wp:inline distT="0" distB="0" distL="0" distR="0">
                  <wp:extent cx="5264785" cy="1068070"/>
                  <wp:effectExtent l="0" t="0" r="0" b="0"/>
                  <wp:docPr id="24" name="图片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64785" cy="106807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26" w:type="dxa"/>
            <w:shd w:val="clear" w:color="auto" w:fill="auto"/>
          </w:tcPr>
          <w:p>
            <w:pPr>
              <w:jc w:val="center"/>
            </w:pPr>
            <w:r>
              <w:rPr>
                <w:sz w:val="24"/>
                <w:szCs w:val="24"/>
              </w:rPr>
              <w:t xml:space="preserve">Table 3   </w:t>
            </w:r>
            <w:r>
              <w:rPr>
                <w:rFonts w:hint="eastAsia"/>
                <w:sz w:val="24"/>
                <w:szCs w:val="24"/>
              </w:rPr>
              <w:t>Before</w:t>
            </w:r>
            <w:r>
              <w:rPr>
                <w:sz w:val="24"/>
                <w:szCs w:val="24"/>
              </w:rPr>
              <w:t xml:space="preserve"> the crisis, LT</w:t>
            </w:r>
          </w:p>
        </w:tc>
      </w:tr>
      <w:tr>
        <w:tblPrEx>
          <w:tblLayout w:type="fixed"/>
          <w:tblCellMar>
            <w:top w:w="0" w:type="dxa"/>
            <w:left w:w="108" w:type="dxa"/>
            <w:bottom w:w="0" w:type="dxa"/>
            <w:right w:w="108" w:type="dxa"/>
          </w:tblCellMar>
        </w:tblPrEx>
        <w:tc>
          <w:tcPr>
            <w:tcW w:w="8526" w:type="dxa"/>
            <w:shd w:val="clear" w:color="auto" w:fill="auto"/>
          </w:tcPr>
          <w:p>
            <w:pPr>
              <w:rPr>
                <w:sz w:val="24"/>
              </w:rPr>
            </w:pPr>
            <w:r>
              <w:rPr>
                <w:sz w:val="24"/>
              </w:rPr>
              <w:drawing>
                <wp:inline distT="0" distB="0" distL="0" distR="0">
                  <wp:extent cx="5269230" cy="1095375"/>
                  <wp:effectExtent l="0" t="0" r="7620" b="9525"/>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69230" cy="109537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26" w:type="dxa"/>
            <w:shd w:val="clear" w:color="auto" w:fill="auto"/>
          </w:tcPr>
          <w:p>
            <w:pPr>
              <w:jc w:val="center"/>
            </w:pPr>
            <w:r>
              <w:rPr>
                <w:sz w:val="24"/>
                <w:szCs w:val="24"/>
              </w:rPr>
              <w:t>Table 4   During the crisis, LT</w:t>
            </w:r>
          </w:p>
        </w:tc>
      </w:tr>
      <w:tr>
        <w:tblPrEx>
          <w:tblLayout w:type="fixed"/>
          <w:tblCellMar>
            <w:top w:w="0" w:type="dxa"/>
            <w:left w:w="108" w:type="dxa"/>
            <w:bottom w:w="0" w:type="dxa"/>
            <w:right w:w="108" w:type="dxa"/>
          </w:tblCellMar>
        </w:tblPrEx>
        <w:tc>
          <w:tcPr>
            <w:tcW w:w="8526" w:type="dxa"/>
            <w:shd w:val="clear" w:color="auto" w:fill="auto"/>
          </w:tcPr>
          <w:p>
            <w:pPr>
              <w:rPr>
                <w:sz w:val="24"/>
              </w:rPr>
            </w:pPr>
            <w:r>
              <w:rPr>
                <w:sz w:val="24"/>
              </w:rPr>
              <w:drawing>
                <wp:inline distT="0" distB="0" distL="0" distR="0">
                  <wp:extent cx="5269230" cy="1254125"/>
                  <wp:effectExtent l="0" t="0" r="7620" b="3175"/>
                  <wp:docPr id="22" name="图片 2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69230" cy="125412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26" w:type="dxa"/>
            <w:shd w:val="clear" w:color="auto" w:fill="auto"/>
          </w:tcPr>
          <w:p>
            <w:pPr>
              <w:jc w:val="center"/>
            </w:pPr>
            <w:r>
              <w:rPr>
                <w:sz w:val="24"/>
                <w:szCs w:val="24"/>
              </w:rPr>
              <w:t xml:space="preserve">Table 5   </w:t>
            </w:r>
            <w:r>
              <w:rPr>
                <w:rFonts w:hint="eastAsia"/>
                <w:sz w:val="24"/>
                <w:szCs w:val="24"/>
              </w:rPr>
              <w:t>After</w:t>
            </w:r>
            <w:r>
              <w:rPr>
                <w:sz w:val="24"/>
                <w:szCs w:val="24"/>
              </w:rPr>
              <w:t xml:space="preserve"> the crisis, LT</w:t>
            </w:r>
          </w:p>
        </w:tc>
      </w:tr>
    </w:tbl>
    <w:p/>
    <w:p>
      <w:r>
        <w:rPr>
          <w:sz w:val="24"/>
          <w:szCs w:val="24"/>
        </w:rPr>
        <w:t>Below are tables presenting investment portfolios with different rebalancing period during various time periods. We take the rebalancing period of 10-day, 75-day, and 150-day into consideration.</w:t>
      </w:r>
      <w:r>
        <w:t xml:space="preserve"> </w:t>
      </w:r>
    </w:p>
    <w:p/>
    <w:p>
      <w:pPr>
        <w:numPr>
          <w:ilvl w:val="0"/>
          <w:numId w:val="3"/>
        </w:numPr>
        <w:rPr>
          <w:sz w:val="24"/>
          <w:szCs w:val="24"/>
        </w:rPr>
      </w:pPr>
      <w:r>
        <w:rPr>
          <w:sz w:val="24"/>
          <w:szCs w:val="24"/>
        </w:rPr>
        <w:t xml:space="preserve">10-day period: </w:t>
      </w:r>
    </w:p>
    <w:tbl>
      <w:tblPr>
        <w:tblStyle w:val="7"/>
        <w:tblW w:w="8676" w:type="dxa"/>
        <w:tblInd w:w="0" w:type="dxa"/>
        <w:tblLayout w:type="fixed"/>
        <w:tblCellMar>
          <w:top w:w="0" w:type="dxa"/>
          <w:left w:w="108" w:type="dxa"/>
          <w:bottom w:w="0" w:type="dxa"/>
          <w:right w:w="108" w:type="dxa"/>
        </w:tblCellMar>
      </w:tblPr>
      <w:tblGrid>
        <w:gridCol w:w="8676"/>
      </w:tblGrid>
      <w:tr>
        <w:tblPrEx>
          <w:tblLayout w:type="fixed"/>
          <w:tblCellMar>
            <w:top w:w="0" w:type="dxa"/>
            <w:left w:w="108" w:type="dxa"/>
            <w:bottom w:w="0" w:type="dxa"/>
            <w:right w:w="108" w:type="dxa"/>
          </w:tblCellMar>
        </w:tblPrEx>
        <w:tc>
          <w:tcPr>
            <w:tcW w:w="8676" w:type="dxa"/>
            <w:shd w:val="clear" w:color="auto" w:fill="auto"/>
          </w:tcPr>
          <w:p>
            <w:r>
              <w:drawing>
                <wp:inline distT="0" distB="0" distL="0" distR="0">
                  <wp:extent cx="5368925" cy="1579880"/>
                  <wp:effectExtent l="0" t="0" r="317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368925" cy="157988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676" w:type="dxa"/>
            <w:shd w:val="clear" w:color="auto" w:fill="auto"/>
          </w:tcPr>
          <w:p>
            <w:pPr>
              <w:jc w:val="center"/>
            </w:pPr>
            <w:r>
              <w:rPr>
                <w:sz w:val="24"/>
                <w:szCs w:val="24"/>
              </w:rPr>
              <w:t>Table 6   key statistics for investment and benchmark portfolio with 10 day period</w:t>
            </w:r>
          </w:p>
        </w:tc>
      </w:tr>
      <w:tr>
        <w:tblPrEx>
          <w:tblLayout w:type="fixed"/>
          <w:tblCellMar>
            <w:top w:w="0" w:type="dxa"/>
            <w:left w:w="108" w:type="dxa"/>
            <w:bottom w:w="0" w:type="dxa"/>
            <w:right w:w="108" w:type="dxa"/>
          </w:tblCellMar>
        </w:tblPrEx>
        <w:tc>
          <w:tcPr>
            <w:tcW w:w="8676" w:type="dxa"/>
            <w:shd w:val="clear" w:color="auto" w:fill="auto"/>
          </w:tcPr>
          <w:p>
            <w:r>
              <w:drawing>
                <wp:inline distT="0" distB="0" distL="0" distR="0">
                  <wp:extent cx="5305425" cy="1557020"/>
                  <wp:effectExtent l="0" t="0" r="952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5305425" cy="155702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676" w:type="dxa"/>
            <w:shd w:val="clear" w:color="auto" w:fill="auto"/>
          </w:tcPr>
          <w:p>
            <w:pPr>
              <w:jc w:val="center"/>
            </w:pPr>
            <w:r>
              <w:rPr>
                <w:sz w:val="24"/>
                <w:szCs w:val="24"/>
              </w:rPr>
              <w:t>Table 7   10-day statistics before the crisis</w:t>
            </w:r>
          </w:p>
        </w:tc>
      </w:tr>
      <w:tr>
        <w:tblPrEx>
          <w:tblLayout w:type="fixed"/>
          <w:tblCellMar>
            <w:top w:w="0" w:type="dxa"/>
            <w:left w:w="108" w:type="dxa"/>
            <w:bottom w:w="0" w:type="dxa"/>
            <w:right w:w="108" w:type="dxa"/>
          </w:tblCellMar>
        </w:tblPrEx>
        <w:tc>
          <w:tcPr>
            <w:tcW w:w="8676" w:type="dxa"/>
            <w:shd w:val="clear" w:color="auto" w:fill="auto"/>
          </w:tcPr>
          <w:p>
            <w:r>
              <w:drawing>
                <wp:inline distT="0" distB="0" distL="0" distR="0">
                  <wp:extent cx="5273675" cy="1557020"/>
                  <wp:effectExtent l="0" t="0" r="317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5273675" cy="155702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676" w:type="dxa"/>
            <w:shd w:val="clear" w:color="auto" w:fill="auto"/>
          </w:tcPr>
          <w:p>
            <w:pPr>
              <w:jc w:val="center"/>
            </w:pPr>
            <w:r>
              <w:rPr>
                <w:sz w:val="24"/>
                <w:szCs w:val="24"/>
              </w:rPr>
              <w:t xml:space="preserve">Table 8   10-day statistics </w:t>
            </w:r>
            <w:r>
              <w:rPr>
                <w:rFonts w:hint="eastAsia"/>
                <w:sz w:val="24"/>
                <w:szCs w:val="24"/>
              </w:rPr>
              <w:t>during</w:t>
            </w:r>
            <w:r>
              <w:rPr>
                <w:sz w:val="24"/>
                <w:szCs w:val="24"/>
              </w:rPr>
              <w:t xml:space="preserve"> the crisis</w:t>
            </w:r>
          </w:p>
        </w:tc>
      </w:tr>
      <w:tr>
        <w:tblPrEx>
          <w:tblLayout w:type="fixed"/>
          <w:tblCellMar>
            <w:top w:w="0" w:type="dxa"/>
            <w:left w:w="108" w:type="dxa"/>
            <w:bottom w:w="0" w:type="dxa"/>
            <w:right w:w="108" w:type="dxa"/>
          </w:tblCellMar>
        </w:tblPrEx>
        <w:tc>
          <w:tcPr>
            <w:tcW w:w="8676" w:type="dxa"/>
            <w:shd w:val="clear" w:color="auto" w:fill="auto"/>
          </w:tcPr>
          <w:p>
            <w:r>
              <w:drawing>
                <wp:inline distT="0" distB="0" distL="0" distR="0">
                  <wp:extent cx="5291455" cy="1539240"/>
                  <wp:effectExtent l="0" t="0" r="444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291455" cy="153924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676" w:type="dxa"/>
            <w:shd w:val="clear" w:color="auto" w:fill="auto"/>
          </w:tcPr>
          <w:p>
            <w:pPr>
              <w:jc w:val="center"/>
            </w:pPr>
            <w:r>
              <w:rPr>
                <w:sz w:val="24"/>
                <w:szCs w:val="24"/>
              </w:rPr>
              <w:t>Table 9   10-day statistics after the crisis</w:t>
            </w:r>
          </w:p>
        </w:tc>
      </w:tr>
    </w:tbl>
    <w:p/>
    <w:p>
      <w:pPr>
        <w:numPr>
          <w:ilvl w:val="0"/>
          <w:numId w:val="3"/>
        </w:numPr>
        <w:rPr>
          <w:sz w:val="24"/>
          <w:szCs w:val="24"/>
        </w:rPr>
      </w:pPr>
      <w:r>
        <w:rPr>
          <w:sz w:val="24"/>
          <w:szCs w:val="24"/>
        </w:rPr>
        <w:t>75-day period:</w:t>
      </w:r>
    </w:p>
    <w:p>
      <w:pPr>
        <w:rPr>
          <w:sz w:val="24"/>
          <w:szCs w:val="24"/>
        </w:rPr>
      </w:pPr>
    </w:p>
    <w:p>
      <w:pPr>
        <w:rPr>
          <w:sz w:val="24"/>
          <w:szCs w:val="24"/>
        </w:rPr>
      </w:pPr>
      <w:r>
        <w:rPr>
          <w:sz w:val="24"/>
          <w:szCs w:val="24"/>
        </w:rPr>
        <w:t>The table presents a summary of the performance of the investment and benchmark portfolio with 75-day rebalancing period under different target beta during the whole chosen period (from 2007-2018). The next three tables show similar contents for three different time period: before financial crisis (2007-2009), during financial crisis (2008-2009), after financial crisis (2009-201</w:t>
      </w:r>
      <w:r>
        <w:rPr>
          <w:rFonts w:hint="eastAsia"/>
          <w:sz w:val="24"/>
          <w:szCs w:val="24"/>
          <w:lang w:val="en-US" w:eastAsia="zh-CN"/>
        </w:rPr>
        <w:t>7</w:t>
      </w:r>
      <w:r>
        <w:rPr>
          <w:sz w:val="24"/>
          <w:szCs w:val="24"/>
        </w:rPr>
        <w:t>).</w:t>
      </w:r>
    </w:p>
    <w:p>
      <w:r>
        <w:rPr>
          <w:sz w:val="24"/>
          <w:szCs w:val="24"/>
        </w:rPr>
        <w:t xml:space="preserve"> </w:t>
      </w:r>
    </w:p>
    <w:tbl>
      <w:tblPr>
        <w:tblStyle w:val="7"/>
        <w:tblW w:w="8586" w:type="dxa"/>
        <w:tblInd w:w="0" w:type="dxa"/>
        <w:tblLayout w:type="fixed"/>
        <w:tblCellMar>
          <w:top w:w="0" w:type="dxa"/>
          <w:left w:w="108" w:type="dxa"/>
          <w:bottom w:w="0" w:type="dxa"/>
          <w:right w:w="108" w:type="dxa"/>
        </w:tblCellMar>
      </w:tblPr>
      <w:tblGrid>
        <w:gridCol w:w="8586"/>
      </w:tblGrid>
      <w:tr>
        <w:tblPrEx>
          <w:tblLayout w:type="fixed"/>
          <w:tblCellMar>
            <w:top w:w="0" w:type="dxa"/>
            <w:left w:w="108" w:type="dxa"/>
            <w:bottom w:w="0" w:type="dxa"/>
            <w:right w:w="108" w:type="dxa"/>
          </w:tblCellMar>
        </w:tblPrEx>
        <w:tc>
          <w:tcPr>
            <w:tcW w:w="8586" w:type="dxa"/>
            <w:shd w:val="clear" w:color="auto" w:fill="auto"/>
          </w:tcPr>
          <w:p>
            <w:r>
              <w:drawing>
                <wp:inline distT="0" distB="0" distL="0" distR="0">
                  <wp:extent cx="5246370" cy="156146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5246370" cy="156146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86" w:type="dxa"/>
            <w:shd w:val="clear" w:color="auto" w:fill="auto"/>
          </w:tcPr>
          <w:p>
            <w:pPr>
              <w:jc w:val="center"/>
            </w:pPr>
            <w:r>
              <w:t xml:space="preserve">Table 10   </w:t>
            </w:r>
            <w:r>
              <w:rPr>
                <w:rFonts w:hint="eastAsia"/>
              </w:rPr>
              <w:t>75</w:t>
            </w:r>
            <w:r>
              <w:t>-day statistics</w:t>
            </w:r>
          </w:p>
        </w:tc>
      </w:tr>
      <w:tr>
        <w:tblPrEx>
          <w:tblLayout w:type="fixed"/>
          <w:tblCellMar>
            <w:top w:w="0" w:type="dxa"/>
            <w:left w:w="108" w:type="dxa"/>
            <w:bottom w:w="0" w:type="dxa"/>
            <w:right w:w="108" w:type="dxa"/>
          </w:tblCellMar>
        </w:tblPrEx>
        <w:tc>
          <w:tcPr>
            <w:tcW w:w="8586" w:type="dxa"/>
            <w:shd w:val="clear" w:color="auto" w:fill="auto"/>
          </w:tcPr>
          <w:p>
            <w:r>
              <w:drawing>
                <wp:inline distT="0" distB="0" distL="0" distR="0">
                  <wp:extent cx="5264785" cy="15436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5264785" cy="154368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86" w:type="dxa"/>
            <w:shd w:val="clear" w:color="auto" w:fill="auto"/>
          </w:tcPr>
          <w:p>
            <w:pPr>
              <w:jc w:val="center"/>
            </w:pPr>
            <w:r>
              <w:t xml:space="preserve">Table 11   </w:t>
            </w:r>
            <w:r>
              <w:rPr>
                <w:rFonts w:hint="eastAsia"/>
              </w:rPr>
              <w:t>75</w:t>
            </w:r>
            <w:r>
              <w:t>-day statistics before the crisis</w:t>
            </w:r>
          </w:p>
          <w:p/>
          <w:p>
            <w:r>
              <w:rPr>
                <w:sz w:val="24"/>
                <w:szCs w:val="24"/>
              </w:rPr>
              <w:t>For results before financial crisis, it shows that the volatility of the benchmark is lower than that of the investment portfolio with beta of 1 and 1.5. Thus, the portfolio with a beta of 0.5 is a proper one to choose.</w:t>
            </w:r>
          </w:p>
          <w:p/>
        </w:tc>
      </w:tr>
      <w:tr>
        <w:tblPrEx>
          <w:tblLayout w:type="fixed"/>
          <w:tblCellMar>
            <w:top w:w="0" w:type="dxa"/>
            <w:left w:w="108" w:type="dxa"/>
            <w:bottom w:w="0" w:type="dxa"/>
            <w:right w:w="108" w:type="dxa"/>
          </w:tblCellMar>
        </w:tblPrEx>
        <w:tc>
          <w:tcPr>
            <w:tcW w:w="8586" w:type="dxa"/>
            <w:shd w:val="clear" w:color="auto" w:fill="auto"/>
          </w:tcPr>
          <w:p>
            <w:r>
              <w:drawing>
                <wp:inline distT="0" distB="0" distL="0" distR="0">
                  <wp:extent cx="5305425" cy="1557020"/>
                  <wp:effectExtent l="0" t="0" r="952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5305425" cy="155702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86" w:type="dxa"/>
            <w:shd w:val="clear" w:color="auto" w:fill="auto"/>
          </w:tcPr>
          <w:p>
            <w:pPr>
              <w:jc w:val="center"/>
            </w:pPr>
            <w:r>
              <w:t xml:space="preserve">Table 12   </w:t>
            </w:r>
            <w:r>
              <w:rPr>
                <w:rFonts w:hint="eastAsia"/>
              </w:rPr>
              <w:t>75</w:t>
            </w:r>
            <w:r>
              <w:t xml:space="preserve">-day statistics </w:t>
            </w:r>
            <w:r>
              <w:rPr>
                <w:rFonts w:hint="eastAsia"/>
              </w:rPr>
              <w:t>during</w:t>
            </w:r>
            <w:r>
              <w:t xml:space="preserve"> the crisis</w:t>
            </w:r>
          </w:p>
          <w:p/>
          <w:p>
            <w:r>
              <w:rPr>
                <w:sz w:val="24"/>
                <w:szCs w:val="24"/>
              </w:rPr>
              <w:t>For the period during the financial crisis, volatilities of all investment portfolios with different beta seem to be similar and have a better performance compared to that of S&amp;P500.</w:t>
            </w:r>
            <w:r>
              <w:t xml:space="preserve"> </w:t>
            </w:r>
          </w:p>
          <w:p/>
        </w:tc>
      </w:tr>
      <w:tr>
        <w:tblPrEx>
          <w:tblLayout w:type="fixed"/>
          <w:tblCellMar>
            <w:top w:w="0" w:type="dxa"/>
            <w:left w:w="108" w:type="dxa"/>
            <w:bottom w:w="0" w:type="dxa"/>
            <w:right w:w="108" w:type="dxa"/>
          </w:tblCellMar>
        </w:tblPrEx>
        <w:tc>
          <w:tcPr>
            <w:tcW w:w="8586" w:type="dxa"/>
            <w:shd w:val="clear" w:color="auto" w:fill="auto"/>
          </w:tcPr>
          <w:p>
            <w:r>
              <w:drawing>
                <wp:inline distT="0" distB="0" distL="0" distR="0">
                  <wp:extent cx="5309870" cy="158432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5309870" cy="158432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86" w:type="dxa"/>
            <w:shd w:val="clear" w:color="auto" w:fill="auto"/>
          </w:tcPr>
          <w:p>
            <w:pPr>
              <w:jc w:val="center"/>
            </w:pPr>
            <w:r>
              <w:t xml:space="preserve">Table13   </w:t>
            </w:r>
            <w:r>
              <w:rPr>
                <w:rFonts w:hint="eastAsia"/>
              </w:rPr>
              <w:t>75</w:t>
            </w:r>
            <w:r>
              <w:t>-day statistics after the crisis</w:t>
            </w:r>
          </w:p>
          <w:p/>
          <w:p>
            <w:r>
              <w:rPr>
                <w:sz w:val="24"/>
                <w:szCs w:val="24"/>
              </w:rPr>
              <w:t>After the financial crisis, to choose portfolios with beta of 1 and 1.5 would be appropriate because of a higher return and lower risk, comparing to both the portfolio with a beta of 0.5 and the benchmark one.</w:t>
            </w:r>
          </w:p>
        </w:tc>
      </w:tr>
    </w:tbl>
    <w:p>
      <w:r>
        <w:t xml:space="preserve"> </w:t>
      </w:r>
    </w:p>
    <w:p>
      <w:pPr>
        <w:numPr>
          <w:ilvl w:val="0"/>
          <w:numId w:val="3"/>
        </w:numPr>
      </w:pPr>
      <w:r>
        <w:rPr>
          <w:sz w:val="24"/>
          <w:szCs w:val="24"/>
        </w:rPr>
        <w:t>150-day period</w:t>
      </w:r>
      <w:r>
        <w:t xml:space="preserve">: </w:t>
      </w:r>
    </w:p>
    <w:tbl>
      <w:tblPr>
        <w:tblStyle w:val="7"/>
        <w:tblW w:w="8713" w:type="dxa"/>
        <w:tblInd w:w="0" w:type="dxa"/>
        <w:tblLayout w:type="fixed"/>
        <w:tblCellMar>
          <w:top w:w="0" w:type="dxa"/>
          <w:left w:w="108" w:type="dxa"/>
          <w:bottom w:w="0" w:type="dxa"/>
          <w:right w:w="108" w:type="dxa"/>
        </w:tblCellMar>
      </w:tblPr>
      <w:tblGrid>
        <w:gridCol w:w="8713"/>
      </w:tblGrid>
      <w:tr>
        <w:tblPrEx>
          <w:tblLayout w:type="fixed"/>
          <w:tblCellMar>
            <w:top w:w="0" w:type="dxa"/>
            <w:left w:w="108" w:type="dxa"/>
            <w:bottom w:w="0" w:type="dxa"/>
            <w:right w:w="108" w:type="dxa"/>
          </w:tblCellMar>
        </w:tblPrEx>
        <w:tc>
          <w:tcPr>
            <w:tcW w:w="8713" w:type="dxa"/>
            <w:shd w:val="clear" w:color="auto" w:fill="auto"/>
          </w:tcPr>
          <w:p>
            <w:r>
              <w:drawing>
                <wp:inline distT="0" distB="0" distL="0" distR="0">
                  <wp:extent cx="5395595" cy="15887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5395595" cy="158877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713" w:type="dxa"/>
            <w:shd w:val="clear" w:color="auto" w:fill="auto"/>
          </w:tcPr>
          <w:p>
            <w:pPr>
              <w:jc w:val="center"/>
            </w:pPr>
            <w:r>
              <w:t xml:space="preserve">Table 14   150-day statistics </w:t>
            </w:r>
          </w:p>
        </w:tc>
      </w:tr>
      <w:tr>
        <w:tblPrEx>
          <w:tblLayout w:type="fixed"/>
          <w:tblCellMar>
            <w:top w:w="0" w:type="dxa"/>
            <w:left w:w="108" w:type="dxa"/>
            <w:bottom w:w="0" w:type="dxa"/>
            <w:right w:w="108" w:type="dxa"/>
          </w:tblCellMar>
        </w:tblPrEx>
        <w:tc>
          <w:tcPr>
            <w:tcW w:w="8713" w:type="dxa"/>
            <w:shd w:val="clear" w:color="auto" w:fill="auto"/>
          </w:tcPr>
          <w:p>
            <w:r>
              <w:drawing>
                <wp:inline distT="0" distB="0" distL="0" distR="0">
                  <wp:extent cx="5309870" cy="1539240"/>
                  <wp:effectExtent l="0" t="0" r="508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5309870" cy="153924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713" w:type="dxa"/>
            <w:shd w:val="clear" w:color="auto" w:fill="auto"/>
          </w:tcPr>
          <w:p>
            <w:pPr>
              <w:jc w:val="center"/>
            </w:pPr>
            <w:r>
              <w:t>Table 15   150-day statistics before the crisis</w:t>
            </w:r>
          </w:p>
        </w:tc>
      </w:tr>
      <w:tr>
        <w:tblPrEx>
          <w:tblLayout w:type="fixed"/>
          <w:tblCellMar>
            <w:top w:w="0" w:type="dxa"/>
            <w:left w:w="108" w:type="dxa"/>
            <w:bottom w:w="0" w:type="dxa"/>
            <w:right w:w="108" w:type="dxa"/>
          </w:tblCellMar>
        </w:tblPrEx>
        <w:tc>
          <w:tcPr>
            <w:tcW w:w="8713" w:type="dxa"/>
            <w:shd w:val="clear" w:color="auto" w:fill="auto"/>
          </w:tcPr>
          <w:p>
            <w:r>
              <w:drawing>
                <wp:inline distT="0" distB="0" distL="0" distR="0">
                  <wp:extent cx="5323205" cy="15436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5323205" cy="154368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713" w:type="dxa"/>
            <w:shd w:val="clear" w:color="auto" w:fill="auto"/>
          </w:tcPr>
          <w:p>
            <w:pPr>
              <w:jc w:val="center"/>
            </w:pPr>
            <w:r>
              <w:t>Table 16  150-day statistics during the crisis</w:t>
            </w:r>
          </w:p>
        </w:tc>
      </w:tr>
      <w:tr>
        <w:tblPrEx>
          <w:tblLayout w:type="fixed"/>
          <w:tblCellMar>
            <w:top w:w="0" w:type="dxa"/>
            <w:left w:w="108" w:type="dxa"/>
            <w:bottom w:w="0" w:type="dxa"/>
            <w:right w:w="108" w:type="dxa"/>
          </w:tblCellMar>
        </w:tblPrEx>
        <w:tc>
          <w:tcPr>
            <w:tcW w:w="8713" w:type="dxa"/>
            <w:shd w:val="clear" w:color="auto" w:fill="auto"/>
          </w:tcPr>
          <w:p>
            <w:r>
              <w:drawing>
                <wp:inline distT="0" distB="0" distL="0" distR="0">
                  <wp:extent cx="5323205" cy="15754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5323205" cy="157543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713" w:type="dxa"/>
            <w:shd w:val="clear" w:color="auto" w:fill="auto"/>
          </w:tcPr>
          <w:p>
            <w:pPr>
              <w:jc w:val="center"/>
            </w:pPr>
            <w:r>
              <w:t>Table 17  150-day statistics after the crisis</w:t>
            </w:r>
          </w:p>
        </w:tc>
      </w:tr>
    </w:tbl>
    <w:p/>
    <w:p>
      <w:pPr>
        <w:rPr>
          <w:sz w:val="24"/>
        </w:rPr>
      </w:pPr>
      <w:r>
        <w:rPr>
          <w:sz w:val="24"/>
        </w:rPr>
        <w:t xml:space="preserve">For better analysis, plots for performances of three different portfolios with different rebalancing periods as well as different beta are constructed. We compare the return of S&amp;P500, benchmark portfolio and the Fama-French portfolio. </w:t>
      </w:r>
    </w:p>
    <w:p>
      <w:pPr>
        <w:numPr>
          <w:ilvl w:val="0"/>
          <w:numId w:val="4"/>
        </w:numPr>
        <w:rPr>
          <w:sz w:val="24"/>
        </w:rPr>
      </w:pPr>
      <w:r>
        <w:rPr>
          <w:sz w:val="24"/>
        </w:rPr>
        <w:t xml:space="preserve">10-day: </w:t>
      </w:r>
    </w:p>
    <w:tbl>
      <w:tblPr>
        <w:tblStyle w:val="7"/>
        <w:tblW w:w="8528" w:type="dxa"/>
        <w:tblInd w:w="0" w:type="dxa"/>
        <w:tblLayout w:type="fixed"/>
        <w:tblCellMar>
          <w:top w:w="0" w:type="dxa"/>
          <w:left w:w="108" w:type="dxa"/>
          <w:bottom w:w="0" w:type="dxa"/>
          <w:right w:w="108" w:type="dxa"/>
        </w:tblCellMar>
      </w:tblPr>
      <w:tblGrid>
        <w:gridCol w:w="8528"/>
      </w:tblGrid>
      <w:tr>
        <w:tblPrEx>
          <w:tblLayout w:type="fixed"/>
          <w:tblCellMar>
            <w:top w:w="0" w:type="dxa"/>
            <w:left w:w="108" w:type="dxa"/>
            <w:bottom w:w="0" w:type="dxa"/>
            <w:right w:w="108" w:type="dxa"/>
          </w:tblCellMar>
        </w:tblPrEx>
        <w:tc>
          <w:tcPr>
            <w:tcW w:w="8528" w:type="dxa"/>
            <w:shd w:val="clear" w:color="auto" w:fill="auto"/>
          </w:tcPr>
          <w:p>
            <w:r>
              <w:drawing>
                <wp:inline distT="0" distB="0" distL="0" distR="0">
                  <wp:extent cx="5278120" cy="2743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5278120" cy="2743200"/>
                          </a:xfrm>
                          <a:prstGeom prst="rect">
                            <a:avLst/>
                          </a:prstGeom>
                          <a:noFill/>
                          <a:ln>
                            <a:noFill/>
                          </a:ln>
                        </pic:spPr>
                      </pic:pic>
                    </a:graphicData>
                  </a:graphic>
                </wp:inline>
              </w:drawing>
            </w:r>
          </w:p>
          <w:p>
            <w:pPr>
              <w:rPr>
                <w:sz w:val="24"/>
              </w:rPr>
            </w:pPr>
          </w:p>
        </w:tc>
      </w:tr>
      <w:tr>
        <w:tblPrEx>
          <w:tblLayout w:type="fixed"/>
          <w:tblCellMar>
            <w:top w:w="0" w:type="dxa"/>
            <w:left w:w="108" w:type="dxa"/>
            <w:bottom w:w="0" w:type="dxa"/>
            <w:right w:w="108" w:type="dxa"/>
          </w:tblCellMar>
        </w:tblPrEx>
        <w:tc>
          <w:tcPr>
            <w:tcW w:w="8528" w:type="dxa"/>
            <w:shd w:val="clear" w:color="auto" w:fill="auto"/>
          </w:tcPr>
          <w:p>
            <w:pPr>
              <w:jc w:val="center"/>
              <w:rPr>
                <w:sz w:val="24"/>
              </w:rPr>
            </w:pPr>
            <w:r>
              <w:t>Figure 10   10-day daily performance with a beta of 0.5</w:t>
            </w:r>
          </w:p>
        </w:tc>
      </w:tr>
      <w:tr>
        <w:tblPrEx>
          <w:tblLayout w:type="fixed"/>
          <w:tblCellMar>
            <w:top w:w="0" w:type="dxa"/>
            <w:left w:w="108" w:type="dxa"/>
            <w:bottom w:w="0" w:type="dxa"/>
            <w:right w:w="108" w:type="dxa"/>
          </w:tblCellMar>
        </w:tblPrEx>
        <w:tc>
          <w:tcPr>
            <w:tcW w:w="8528" w:type="dxa"/>
            <w:shd w:val="clear" w:color="auto" w:fill="auto"/>
          </w:tcPr>
          <w:p>
            <w:pPr>
              <w:rPr>
                <w:sz w:val="24"/>
              </w:rPr>
            </w:pPr>
            <w:r>
              <w:drawing>
                <wp:inline distT="0" distB="0" distL="0" distR="0">
                  <wp:extent cx="5269230" cy="2698115"/>
                  <wp:effectExtent l="0" t="0" r="762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5269230" cy="269811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28" w:type="dxa"/>
            <w:shd w:val="clear" w:color="auto" w:fill="auto"/>
          </w:tcPr>
          <w:p>
            <w:pPr>
              <w:jc w:val="center"/>
              <w:rPr>
                <w:sz w:val="24"/>
              </w:rPr>
            </w:pPr>
            <w:r>
              <w:t>Figure 11   10-day daily performance with a beta of 1</w:t>
            </w:r>
          </w:p>
        </w:tc>
      </w:tr>
      <w:tr>
        <w:tblPrEx>
          <w:tblLayout w:type="fixed"/>
          <w:tblCellMar>
            <w:top w:w="0" w:type="dxa"/>
            <w:left w:w="108" w:type="dxa"/>
            <w:bottom w:w="0" w:type="dxa"/>
            <w:right w:w="108" w:type="dxa"/>
          </w:tblCellMar>
        </w:tblPrEx>
        <w:tc>
          <w:tcPr>
            <w:tcW w:w="8528" w:type="dxa"/>
            <w:shd w:val="clear" w:color="auto" w:fill="auto"/>
          </w:tcPr>
          <w:p>
            <w:pPr>
              <w:rPr>
                <w:sz w:val="24"/>
              </w:rPr>
            </w:pPr>
            <w:r>
              <w:drawing>
                <wp:inline distT="0" distB="0" distL="0" distR="0">
                  <wp:extent cx="5269230" cy="2715895"/>
                  <wp:effectExtent l="0" t="0" r="762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5269230" cy="271589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28" w:type="dxa"/>
            <w:shd w:val="clear" w:color="auto" w:fill="auto"/>
          </w:tcPr>
          <w:p>
            <w:pPr>
              <w:jc w:val="center"/>
              <w:rPr>
                <w:sz w:val="24"/>
              </w:rPr>
            </w:pPr>
            <w:r>
              <w:t>Figure 12   10-day daily performance with a beta of 1.5</w:t>
            </w:r>
          </w:p>
        </w:tc>
      </w:tr>
    </w:tbl>
    <w:p>
      <w:pPr>
        <w:rPr>
          <w:sz w:val="24"/>
        </w:rPr>
      </w:pPr>
    </w:p>
    <w:p>
      <w:pPr>
        <w:numPr>
          <w:ilvl w:val="0"/>
          <w:numId w:val="4"/>
        </w:numPr>
      </w:pPr>
      <w:r>
        <w:rPr>
          <w:sz w:val="24"/>
          <w:szCs w:val="24"/>
        </w:rPr>
        <w:t>75-day</w:t>
      </w:r>
      <w:r>
        <w:t>:</w:t>
      </w:r>
    </w:p>
    <w:p>
      <w:r>
        <mc:AlternateContent>
          <mc:Choice Requires="wps">
            <w:drawing>
              <wp:anchor distT="0" distB="0" distL="114300" distR="114300" simplePos="0" relativeHeight="251662336" behindDoc="0" locked="0" layoutInCell="1" allowOverlap="1">
                <wp:simplePos x="0" y="0"/>
                <wp:positionH relativeFrom="column">
                  <wp:posOffset>2832735</wp:posOffset>
                </wp:positionH>
                <wp:positionV relativeFrom="paragraph">
                  <wp:posOffset>1647825</wp:posOffset>
                </wp:positionV>
                <wp:extent cx="1184910" cy="238760"/>
                <wp:effectExtent l="13335" t="13335" r="11430" b="5080"/>
                <wp:wrapNone/>
                <wp:docPr id="34" name="文本框 34"/>
                <wp:cNvGraphicFramePr/>
                <a:graphic xmlns:a="http://schemas.openxmlformats.org/drawingml/2006/main">
                  <a:graphicData uri="http://schemas.microsoft.com/office/word/2010/wordprocessingShape">
                    <wps:wsp>
                      <wps:cNvSpPr txBox="1">
                        <a:spLocks noChangeArrowheads="1"/>
                      </wps:cNvSpPr>
                      <wps:spPr bwMode="auto">
                        <a:xfrm>
                          <a:off x="0" y="0"/>
                          <a:ext cx="1184910" cy="238760"/>
                        </a:xfrm>
                        <a:prstGeom prst="rect">
                          <a:avLst/>
                        </a:prstGeom>
                        <a:noFill/>
                        <a:ln w="9525">
                          <a:solidFill>
                            <a:srgbClr val="000000">
                              <a:alpha val="0"/>
                            </a:srgbClr>
                          </a:solidFill>
                          <a:miter lim="800000"/>
                        </a:ln>
                      </wps:spPr>
                      <wps:txbx>
                        <w:txbxContent>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23.05pt;margin-top:129.75pt;height:18.8pt;width:93.3pt;z-index:251662336;mso-width-relative:page;mso-height-relative:page;" filled="f" stroked="t" coordsize="21600,21600" o:gfxdata="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eh/ZX9gAAAALAQAADwAAAAAAAAABACAAAAAiAAAAZHJzL2Rvd25yZXYueG1sUEsB&#10;AhQAFAAAAAgAh07iQPRb7nUuAgAALwQAAA4AAAAAAAAAAQAgAAAAJwEAAGRycy9lMm9Eb2MueG1s&#10;UEsFBgAAAAAGAAYAWQEAAMcFAAAAAA==&#10;">
                <v:fill on="f" focussize="0,0"/>
                <v:stroke color="#000000" opacity="0f" miterlimit="8" joinstyle="miter"/>
                <v:imagedata o:title=""/>
                <o:lock v:ext="edit" aspectratio="f"/>
                <v:textbox>
                  <w:txbxContent>
                    <w:p/>
                  </w:txbxContent>
                </v:textbox>
              </v:shape>
            </w:pict>
          </mc:Fallback>
        </mc:AlternateContent>
      </w:r>
    </w:p>
    <w:tbl>
      <w:tblPr>
        <w:tblStyle w:val="7"/>
        <w:tblW w:w="8528" w:type="dxa"/>
        <w:tblInd w:w="0" w:type="dxa"/>
        <w:tblLayout w:type="fixed"/>
        <w:tblCellMar>
          <w:top w:w="0" w:type="dxa"/>
          <w:left w:w="108" w:type="dxa"/>
          <w:bottom w:w="0" w:type="dxa"/>
          <w:right w:w="108" w:type="dxa"/>
        </w:tblCellMar>
      </w:tblPr>
      <w:tblGrid>
        <w:gridCol w:w="8528"/>
      </w:tblGrid>
      <w:tr>
        <w:tblPrEx>
          <w:tblLayout w:type="fixed"/>
          <w:tblCellMar>
            <w:top w:w="0" w:type="dxa"/>
            <w:left w:w="108" w:type="dxa"/>
            <w:bottom w:w="0" w:type="dxa"/>
            <w:right w:w="108" w:type="dxa"/>
          </w:tblCellMar>
        </w:tblPrEx>
        <w:tc>
          <w:tcPr>
            <w:tcW w:w="8528" w:type="dxa"/>
            <w:shd w:val="clear" w:color="auto" w:fill="auto"/>
          </w:tcPr>
          <w:p>
            <w:r>
              <w:drawing>
                <wp:inline distT="0" distB="0" distL="0" distR="0">
                  <wp:extent cx="5273675" cy="2684145"/>
                  <wp:effectExtent l="0" t="0" r="317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5273675" cy="268414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28" w:type="dxa"/>
            <w:shd w:val="clear" w:color="auto" w:fill="auto"/>
          </w:tcPr>
          <w:p>
            <w:pPr>
              <w:jc w:val="center"/>
            </w:pPr>
            <w:r>
              <w:t>Figure 13   75-day daily performance with a beta of 0.5</w:t>
            </w:r>
          </w:p>
        </w:tc>
      </w:tr>
      <w:tr>
        <w:tblPrEx>
          <w:tblLayout w:type="fixed"/>
          <w:tblCellMar>
            <w:top w:w="0" w:type="dxa"/>
            <w:left w:w="108" w:type="dxa"/>
            <w:bottom w:w="0" w:type="dxa"/>
            <w:right w:w="108" w:type="dxa"/>
          </w:tblCellMar>
        </w:tblPrEx>
        <w:tc>
          <w:tcPr>
            <w:tcW w:w="8528" w:type="dxa"/>
            <w:shd w:val="clear" w:color="auto" w:fill="auto"/>
          </w:tcPr>
          <w:p>
            <w:r>
              <w:drawing>
                <wp:inline distT="0" distB="0" distL="0" distR="0">
                  <wp:extent cx="5273675" cy="2715895"/>
                  <wp:effectExtent l="0" t="0" r="317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5273675" cy="271589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28" w:type="dxa"/>
            <w:shd w:val="clear" w:color="auto" w:fill="auto"/>
          </w:tcPr>
          <w:p>
            <w:pPr>
              <w:jc w:val="center"/>
            </w:pPr>
            <w:r>
              <w:t>Figure 14   75-day daily performance with a beta of 1</w:t>
            </w:r>
          </w:p>
        </w:tc>
      </w:tr>
      <w:tr>
        <w:tblPrEx>
          <w:tblLayout w:type="fixed"/>
          <w:tblCellMar>
            <w:top w:w="0" w:type="dxa"/>
            <w:left w:w="108" w:type="dxa"/>
            <w:bottom w:w="0" w:type="dxa"/>
            <w:right w:w="108" w:type="dxa"/>
          </w:tblCellMar>
        </w:tblPrEx>
        <w:tc>
          <w:tcPr>
            <w:tcW w:w="8528" w:type="dxa"/>
            <w:shd w:val="clear" w:color="auto" w:fill="auto"/>
          </w:tcPr>
          <w:p>
            <w:r>
              <w:drawing>
                <wp:inline distT="0" distB="0" distL="0" distR="0">
                  <wp:extent cx="5278120" cy="26936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5278120" cy="269367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28" w:type="dxa"/>
            <w:shd w:val="clear" w:color="auto" w:fill="auto"/>
          </w:tcPr>
          <w:p>
            <w:pPr>
              <w:jc w:val="center"/>
            </w:pPr>
            <w:r>
              <w:t>Figure 15   75-day daily performance with a beta of 1.5</w:t>
            </w:r>
          </w:p>
        </w:tc>
      </w:tr>
    </w:tbl>
    <w:p/>
    <w:p>
      <w:pPr>
        <w:numPr>
          <w:ilvl w:val="0"/>
          <w:numId w:val="4"/>
        </w:numPr>
      </w:pPr>
      <w:r>
        <w:rPr>
          <w:sz w:val="24"/>
          <w:szCs w:val="24"/>
        </w:rPr>
        <w:t>150-day</w:t>
      </w:r>
      <w:r>
        <w:t>:</w:t>
      </w:r>
    </w:p>
    <w:tbl>
      <w:tblPr>
        <w:tblStyle w:val="7"/>
        <w:tblW w:w="8528" w:type="dxa"/>
        <w:tblInd w:w="0" w:type="dxa"/>
        <w:tblLayout w:type="fixed"/>
        <w:tblCellMar>
          <w:top w:w="0" w:type="dxa"/>
          <w:left w:w="108" w:type="dxa"/>
          <w:bottom w:w="0" w:type="dxa"/>
          <w:right w:w="108" w:type="dxa"/>
        </w:tblCellMar>
      </w:tblPr>
      <w:tblGrid>
        <w:gridCol w:w="8528"/>
      </w:tblGrid>
      <w:tr>
        <w:tblPrEx>
          <w:tblLayout w:type="fixed"/>
          <w:tblCellMar>
            <w:top w:w="0" w:type="dxa"/>
            <w:left w:w="108" w:type="dxa"/>
            <w:bottom w:w="0" w:type="dxa"/>
            <w:right w:w="108" w:type="dxa"/>
          </w:tblCellMar>
        </w:tblPrEx>
        <w:tc>
          <w:tcPr>
            <w:tcW w:w="8528" w:type="dxa"/>
            <w:shd w:val="clear" w:color="auto" w:fill="auto"/>
          </w:tcPr>
          <w:p>
            <w:r>
              <w:drawing>
                <wp:inline distT="0" distB="0" distL="0" distR="0">
                  <wp:extent cx="5273675" cy="2720340"/>
                  <wp:effectExtent l="0" t="0" r="317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5273675" cy="272034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28" w:type="dxa"/>
            <w:shd w:val="clear" w:color="auto" w:fill="auto"/>
          </w:tcPr>
          <w:p>
            <w:pPr>
              <w:jc w:val="center"/>
            </w:pPr>
            <w:r>
              <w:t>Figure 16   150-day daily performance with a beta of 0.5</w:t>
            </w:r>
          </w:p>
        </w:tc>
      </w:tr>
      <w:tr>
        <w:tblPrEx>
          <w:tblLayout w:type="fixed"/>
          <w:tblCellMar>
            <w:top w:w="0" w:type="dxa"/>
            <w:left w:w="108" w:type="dxa"/>
            <w:bottom w:w="0" w:type="dxa"/>
            <w:right w:w="108" w:type="dxa"/>
          </w:tblCellMar>
        </w:tblPrEx>
        <w:tc>
          <w:tcPr>
            <w:tcW w:w="8528" w:type="dxa"/>
            <w:shd w:val="clear" w:color="auto" w:fill="auto"/>
          </w:tcPr>
          <w:p>
            <w:r>
              <w:drawing>
                <wp:inline distT="0" distB="0" distL="0" distR="0">
                  <wp:extent cx="5278120" cy="27203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5278120" cy="272034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28" w:type="dxa"/>
            <w:shd w:val="clear" w:color="auto" w:fill="auto"/>
          </w:tcPr>
          <w:p>
            <w:pPr>
              <w:jc w:val="center"/>
            </w:pPr>
            <w:r>
              <w:t>Figure 17   150-day daily performance with a beta of 1</w:t>
            </w:r>
          </w:p>
        </w:tc>
      </w:tr>
      <w:tr>
        <w:tblPrEx>
          <w:tblLayout w:type="fixed"/>
          <w:tblCellMar>
            <w:top w:w="0" w:type="dxa"/>
            <w:left w:w="108" w:type="dxa"/>
            <w:bottom w:w="0" w:type="dxa"/>
            <w:right w:w="108" w:type="dxa"/>
          </w:tblCellMar>
        </w:tblPrEx>
        <w:tc>
          <w:tcPr>
            <w:tcW w:w="8528" w:type="dxa"/>
            <w:shd w:val="clear" w:color="auto" w:fill="auto"/>
          </w:tcPr>
          <w:p>
            <w:r>
              <w:drawing>
                <wp:inline distT="0" distB="0" distL="0" distR="0">
                  <wp:extent cx="5273675" cy="272034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5273675" cy="272034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8528" w:type="dxa"/>
            <w:shd w:val="clear" w:color="auto" w:fill="auto"/>
          </w:tcPr>
          <w:p>
            <w:pPr>
              <w:jc w:val="center"/>
            </w:pPr>
            <w:r>
              <w:t>Figure 18   150-day daily performance with a beta of 1.5</w:t>
            </w:r>
          </w:p>
        </w:tc>
      </w:tr>
    </w:tbl>
    <w:p/>
    <w:p>
      <w:pPr>
        <w:pStyle w:val="2"/>
        <w:numPr>
          <w:ilvl w:val="0"/>
          <w:numId w:val="5"/>
        </w:numPr>
      </w:pPr>
      <w:r>
        <w:rPr>
          <w:sz w:val="30"/>
          <w:szCs w:val="30"/>
        </w:rPr>
        <w:t>Conclusion</w:t>
      </w:r>
    </w:p>
    <w:p>
      <w:pPr>
        <w:numPr>
          <w:numId w:val="0"/>
        </w:numPr>
      </w:pPr>
    </w:p>
    <w:p>
      <w:pPr>
        <w:rPr>
          <w:sz w:val="24"/>
          <w:szCs w:val="24"/>
        </w:rPr>
      </w:pPr>
      <w:r>
        <w:rPr>
          <w:sz w:val="24"/>
          <w:szCs w:val="24"/>
        </w:rPr>
        <w:t>1) In this project, two optimization models are built: min-variance model and max return model with target beta based on the French-Fama three factor model, analyzing the performance of different time periods.</w:t>
      </w:r>
    </w:p>
    <w:p>
      <w:pPr>
        <w:rPr>
          <w:sz w:val="24"/>
          <w:szCs w:val="24"/>
        </w:rPr>
      </w:pPr>
    </w:p>
    <w:p>
      <w:pPr>
        <w:numPr>
          <w:ilvl w:val="0"/>
          <w:numId w:val="6"/>
        </w:numPr>
        <w:rPr>
          <w:sz w:val="24"/>
          <w:szCs w:val="24"/>
        </w:rPr>
      </w:pPr>
      <w:r>
        <w:rPr>
          <w:sz w:val="24"/>
          <w:szCs w:val="24"/>
        </w:rPr>
        <w:t xml:space="preserve">The analysis of key statistics under three different period gives the conclusion that returns of portfolios could be higher with a relatively high beta, but a high risk exposure occurring simultaneously should also be taken into considered. Besides, with a 75-day period, investment portfolios always get a better result. </w:t>
      </w:r>
    </w:p>
    <w:p>
      <w:pPr>
        <w:numPr>
          <w:numId w:val="0"/>
        </w:numPr>
        <w:rPr>
          <w:sz w:val="24"/>
          <w:szCs w:val="24"/>
        </w:rPr>
      </w:pPr>
    </w:p>
    <w:p>
      <w:pPr>
        <w:rPr>
          <w:sz w:val="24"/>
          <w:szCs w:val="24"/>
        </w:rPr>
      </w:pPr>
      <w:r>
        <w:rPr>
          <w:sz w:val="24"/>
          <w:szCs w:val="24"/>
        </w:rPr>
        <w:t xml:space="preserve">3) By analyzing the min-variance of different terms, figures we constructed in this project present that performances of mid and long term portfolios are relatively better that that of the short term portfolio. While comparing different values of beta, it has been found that differences between performances are slight. </w:t>
      </w:r>
    </w:p>
    <w:p/>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2FF" w:usb1="42002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735617"/>
    <w:multiLevelType w:val="singleLevel"/>
    <w:tmpl w:val="8C735617"/>
    <w:lvl w:ilvl="0" w:tentative="0">
      <w:start w:val="1"/>
      <w:numFmt w:val="decimal"/>
      <w:suff w:val="space"/>
      <w:lvlText w:val="%1)"/>
      <w:lvlJc w:val="left"/>
    </w:lvl>
  </w:abstractNum>
  <w:abstractNum w:abstractNumId="1">
    <w:nsid w:val="1C8DC337"/>
    <w:multiLevelType w:val="singleLevel"/>
    <w:tmpl w:val="1C8DC337"/>
    <w:lvl w:ilvl="0" w:tentative="0">
      <w:start w:val="5"/>
      <w:numFmt w:val="decimal"/>
      <w:suff w:val="space"/>
      <w:lvlText w:val="%1."/>
      <w:lvlJc w:val="left"/>
    </w:lvl>
  </w:abstractNum>
  <w:abstractNum w:abstractNumId="2">
    <w:nsid w:val="20330ADD"/>
    <w:multiLevelType w:val="multilevel"/>
    <w:tmpl w:val="20330AD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B2153A2"/>
    <w:multiLevelType w:val="multilevel"/>
    <w:tmpl w:val="2B2153A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EE14C3D"/>
    <w:multiLevelType w:val="singleLevel"/>
    <w:tmpl w:val="2EE14C3D"/>
    <w:lvl w:ilvl="0" w:tentative="0">
      <w:start w:val="2"/>
      <w:numFmt w:val="decimal"/>
      <w:suff w:val="space"/>
      <w:lvlText w:val="%1)"/>
      <w:lvlJc w:val="left"/>
    </w:lvl>
  </w:abstractNum>
  <w:abstractNum w:abstractNumId="5">
    <w:nsid w:val="74B93AE0"/>
    <w:multiLevelType w:val="multilevel"/>
    <w:tmpl w:val="74B93AE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EB9"/>
    <w:rsid w:val="0011506B"/>
    <w:rsid w:val="00556EB9"/>
    <w:rsid w:val="009E1835"/>
    <w:rsid w:val="0A831375"/>
    <w:rsid w:val="75080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jc w:val="both"/>
    </w:pPr>
    <w:rPr>
      <w:rFonts w:ascii="Times New Roman" w:hAnsi="Times New Roman" w:eastAsia="宋体" w:cs="Times New Roman"/>
      <w:kern w:val="2"/>
      <w:sz w:val="22"/>
      <w:szCs w:val="24"/>
      <w:lang w:val="en-US" w:eastAsia="zh-CN" w:bidi="ar-SA"/>
    </w:rPr>
  </w:style>
  <w:style w:type="paragraph" w:styleId="2">
    <w:name w:val="heading 1"/>
    <w:basedOn w:val="1"/>
    <w:next w:val="1"/>
    <w:link w:val="8"/>
    <w:qFormat/>
    <w:uiPriority w:val="0"/>
    <w:pPr>
      <w:keepNext/>
      <w:spacing w:before="240" w:after="60"/>
      <w:outlineLvl w:val="0"/>
    </w:pPr>
    <w:rPr>
      <w:rFonts w:eastAsia="等线 Light"/>
      <w:b/>
      <w:bCs/>
      <w:kern w:val="32"/>
      <w:sz w:val="32"/>
      <w:szCs w:val="32"/>
    </w:rPr>
  </w:style>
  <w:style w:type="character" w:default="1" w:styleId="5">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3">
    <w:name w:val="Subtitle"/>
    <w:basedOn w:val="1"/>
    <w:next w:val="1"/>
    <w:link w:val="10"/>
    <w:qFormat/>
    <w:uiPriority w:val="0"/>
    <w:pPr>
      <w:spacing w:after="60"/>
      <w:jc w:val="left"/>
      <w:outlineLvl w:val="1"/>
    </w:pPr>
    <w:rPr>
      <w:rFonts w:eastAsia="等线 Light"/>
      <w:b/>
      <w:sz w:val="24"/>
    </w:rPr>
  </w:style>
  <w:style w:type="paragraph" w:styleId="4">
    <w:name w:val="Title"/>
    <w:basedOn w:val="1"/>
    <w:next w:val="1"/>
    <w:link w:val="9"/>
    <w:qFormat/>
    <w:uiPriority w:val="0"/>
    <w:pPr>
      <w:spacing w:before="240" w:after="60"/>
      <w:jc w:val="center"/>
      <w:outlineLvl w:val="0"/>
    </w:pPr>
    <w:rPr>
      <w:rFonts w:eastAsia="等线 Light"/>
      <w:b/>
      <w:bCs/>
      <w:kern w:val="28"/>
      <w:sz w:val="32"/>
      <w:szCs w:val="32"/>
    </w:rPr>
  </w:style>
  <w:style w:type="character" w:styleId="6">
    <w:name w:val="Hyperlink"/>
    <w:uiPriority w:val="0"/>
    <w:rPr>
      <w:color w:val="0563C1"/>
      <w:u w:val="single"/>
    </w:rPr>
  </w:style>
  <w:style w:type="character" w:customStyle="1" w:styleId="8">
    <w:name w:val="标题 1 字符"/>
    <w:basedOn w:val="5"/>
    <w:link w:val="2"/>
    <w:uiPriority w:val="0"/>
    <w:rPr>
      <w:rFonts w:ascii="Times New Roman" w:hAnsi="Times New Roman" w:eastAsia="等线 Light" w:cs="Times New Roman"/>
      <w:b/>
      <w:bCs/>
      <w:kern w:val="32"/>
      <w:sz w:val="32"/>
      <w:szCs w:val="32"/>
    </w:rPr>
  </w:style>
  <w:style w:type="character" w:customStyle="1" w:styleId="9">
    <w:name w:val="标题 字符"/>
    <w:basedOn w:val="5"/>
    <w:link w:val="4"/>
    <w:uiPriority w:val="0"/>
    <w:rPr>
      <w:rFonts w:ascii="Times New Roman" w:hAnsi="Times New Roman" w:eastAsia="等线 Light" w:cs="Times New Roman"/>
      <w:b/>
      <w:bCs/>
      <w:kern w:val="28"/>
      <w:sz w:val="32"/>
      <w:szCs w:val="32"/>
    </w:rPr>
  </w:style>
  <w:style w:type="character" w:customStyle="1" w:styleId="10">
    <w:name w:val="副标题 字符"/>
    <w:basedOn w:val="5"/>
    <w:link w:val="3"/>
    <w:uiPriority w:val="0"/>
    <w:rPr>
      <w:rFonts w:ascii="Times New Roman" w:hAnsi="Times New Roman" w:eastAsia="等线 Light" w:cs="Times New Roman"/>
      <w:b/>
      <w:kern w:val="2"/>
      <w:sz w:val="24"/>
      <w:szCs w:val="24"/>
    </w:rPr>
  </w:style>
  <w:style w:type="character" w:styleId="11">
    <w:name w:val="Placeholder Text"/>
    <w:basedOn w:val="5"/>
    <w:semiHidden/>
    <w:uiPriority w:val="99"/>
    <w:rPr>
      <w:color w:val="808080"/>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60.png"/><Relationship Id="rId9" Type="http://schemas.openxmlformats.org/officeDocument/2006/relationships/oleObject" Target="embeddings/oleObject3.bin"/><Relationship Id="rId89" Type="http://schemas.openxmlformats.org/officeDocument/2006/relationships/image" Target="media/image59.png"/><Relationship Id="rId88" Type="http://schemas.openxmlformats.org/officeDocument/2006/relationships/image" Target="media/image58.png"/><Relationship Id="rId87" Type="http://schemas.openxmlformats.org/officeDocument/2006/relationships/image" Target="media/image57.png"/><Relationship Id="rId86" Type="http://schemas.openxmlformats.org/officeDocument/2006/relationships/image" Target="media/image56.png"/><Relationship Id="rId85" Type="http://schemas.openxmlformats.org/officeDocument/2006/relationships/image" Target="media/image55.png"/><Relationship Id="rId84" Type="http://schemas.openxmlformats.org/officeDocument/2006/relationships/image" Target="media/image54.png"/><Relationship Id="rId83" Type="http://schemas.openxmlformats.org/officeDocument/2006/relationships/image" Target="media/image53.png"/><Relationship Id="rId82" Type="http://schemas.openxmlformats.org/officeDocument/2006/relationships/image" Target="media/image52.png"/><Relationship Id="rId81" Type="http://schemas.openxmlformats.org/officeDocument/2006/relationships/image" Target="media/image51.png"/><Relationship Id="rId80" Type="http://schemas.openxmlformats.org/officeDocument/2006/relationships/image" Target="media/image50.png"/><Relationship Id="rId8" Type="http://schemas.openxmlformats.org/officeDocument/2006/relationships/image" Target="media/image3.wmf"/><Relationship Id="rId79" Type="http://schemas.openxmlformats.org/officeDocument/2006/relationships/image" Target="media/image49.png"/><Relationship Id="rId78" Type="http://schemas.openxmlformats.org/officeDocument/2006/relationships/image" Target="media/image48.png"/><Relationship Id="rId77" Type="http://schemas.openxmlformats.org/officeDocument/2006/relationships/image" Target="media/image47.png"/><Relationship Id="rId76" Type="http://schemas.openxmlformats.org/officeDocument/2006/relationships/image" Target="media/image46.png"/><Relationship Id="rId75" Type="http://schemas.openxmlformats.org/officeDocument/2006/relationships/image" Target="media/image45.png"/><Relationship Id="rId74" Type="http://schemas.openxmlformats.org/officeDocument/2006/relationships/image" Target="media/image44.png"/><Relationship Id="rId73" Type="http://schemas.openxmlformats.org/officeDocument/2006/relationships/image" Target="media/image43.png"/><Relationship Id="rId72" Type="http://schemas.openxmlformats.org/officeDocument/2006/relationships/image" Target="media/image42.png"/><Relationship Id="rId71" Type="http://schemas.openxmlformats.org/officeDocument/2006/relationships/image" Target="media/image41.png"/><Relationship Id="rId70" Type="http://schemas.openxmlformats.org/officeDocument/2006/relationships/image" Target="media/image40.png"/><Relationship Id="rId7" Type="http://schemas.openxmlformats.org/officeDocument/2006/relationships/oleObject" Target="embeddings/oleObject2.bin"/><Relationship Id="rId69" Type="http://schemas.openxmlformats.org/officeDocument/2006/relationships/image" Target="media/image39.png"/><Relationship Id="rId68" Type="http://schemas.openxmlformats.org/officeDocument/2006/relationships/image" Target="media/image38.png"/><Relationship Id="rId67" Type="http://schemas.openxmlformats.org/officeDocument/2006/relationships/image" Target="media/image37.png"/><Relationship Id="rId66" Type="http://schemas.openxmlformats.org/officeDocument/2006/relationships/image" Target="media/image36.png"/><Relationship Id="rId65" Type="http://schemas.openxmlformats.org/officeDocument/2006/relationships/image" Target="media/image35.png"/><Relationship Id="rId64" Type="http://schemas.openxmlformats.org/officeDocument/2006/relationships/image" Target="media/image34.png"/><Relationship Id="rId63" Type="http://schemas.openxmlformats.org/officeDocument/2006/relationships/image" Target="media/image33.jpeg"/><Relationship Id="rId62" Type="http://schemas.openxmlformats.org/officeDocument/2006/relationships/image" Target="media/image32.jpeg"/><Relationship Id="rId61" Type="http://schemas.openxmlformats.org/officeDocument/2006/relationships/image" Target="media/image31.jpeg"/><Relationship Id="rId60" Type="http://schemas.openxmlformats.org/officeDocument/2006/relationships/image" Target="media/image30.jpeg"/><Relationship Id="rId6" Type="http://schemas.openxmlformats.org/officeDocument/2006/relationships/image" Target="media/image2.wmf"/><Relationship Id="rId59" Type="http://schemas.openxmlformats.org/officeDocument/2006/relationships/image" Target="media/image29.jpeg"/><Relationship Id="rId58" Type="http://schemas.openxmlformats.org/officeDocument/2006/relationships/image" Target="media/image28.jpeg"/><Relationship Id="rId57" Type="http://schemas.openxmlformats.org/officeDocument/2006/relationships/image" Target="media/image27.jpeg"/><Relationship Id="rId56" Type="http://schemas.openxmlformats.org/officeDocument/2006/relationships/image" Target="media/image26.wmf"/><Relationship Id="rId55" Type="http://schemas.openxmlformats.org/officeDocument/2006/relationships/oleObject" Target="embeddings/oleObject27.bin"/><Relationship Id="rId54" Type="http://schemas.openxmlformats.org/officeDocument/2006/relationships/image" Target="media/image25.wmf"/><Relationship Id="rId53" Type="http://schemas.openxmlformats.org/officeDocument/2006/relationships/oleObject" Target="embeddings/oleObject26.bin"/><Relationship Id="rId52" Type="http://schemas.openxmlformats.org/officeDocument/2006/relationships/image" Target="media/image24.wmf"/><Relationship Id="rId51" Type="http://schemas.openxmlformats.org/officeDocument/2006/relationships/oleObject" Target="embeddings/oleObject25.bin"/><Relationship Id="rId50" Type="http://schemas.openxmlformats.org/officeDocument/2006/relationships/image" Target="media/image23.wmf"/><Relationship Id="rId5" Type="http://schemas.openxmlformats.org/officeDocument/2006/relationships/oleObject" Target="embeddings/oleObject1.bin"/><Relationship Id="rId49" Type="http://schemas.openxmlformats.org/officeDocument/2006/relationships/oleObject" Target="embeddings/oleObject24.bin"/><Relationship Id="rId48" Type="http://schemas.openxmlformats.org/officeDocument/2006/relationships/image" Target="media/image22.wmf"/><Relationship Id="rId47" Type="http://schemas.openxmlformats.org/officeDocument/2006/relationships/oleObject" Target="embeddings/oleObject23.bin"/><Relationship Id="rId46" Type="http://schemas.openxmlformats.org/officeDocument/2006/relationships/image" Target="media/image21.wmf"/><Relationship Id="rId45" Type="http://schemas.openxmlformats.org/officeDocument/2006/relationships/oleObject" Target="embeddings/oleObject22.bin"/><Relationship Id="rId44" Type="http://schemas.openxmlformats.org/officeDocument/2006/relationships/image" Target="media/image20.wmf"/><Relationship Id="rId43" Type="http://schemas.openxmlformats.org/officeDocument/2006/relationships/oleObject" Target="embeddings/oleObject21.bin"/><Relationship Id="rId42" Type="http://schemas.openxmlformats.org/officeDocument/2006/relationships/image" Target="media/image19.wmf"/><Relationship Id="rId41" Type="http://schemas.openxmlformats.org/officeDocument/2006/relationships/oleObject" Target="embeddings/oleObject20.bin"/><Relationship Id="rId40" Type="http://schemas.openxmlformats.org/officeDocument/2006/relationships/image" Target="media/image18.wmf"/><Relationship Id="rId4" Type="http://schemas.openxmlformats.org/officeDocument/2006/relationships/image" Target="media/image1.png"/><Relationship Id="rId39" Type="http://schemas.openxmlformats.org/officeDocument/2006/relationships/oleObject" Target="embeddings/oleObject19.bin"/><Relationship Id="rId38" Type="http://schemas.openxmlformats.org/officeDocument/2006/relationships/image" Target="media/image17.wmf"/><Relationship Id="rId37" Type="http://schemas.openxmlformats.org/officeDocument/2006/relationships/oleObject" Target="embeddings/oleObject18.bin"/><Relationship Id="rId36" Type="http://schemas.openxmlformats.org/officeDocument/2006/relationships/image" Target="media/image16.wmf"/><Relationship Id="rId35" Type="http://schemas.openxmlformats.org/officeDocument/2006/relationships/oleObject" Target="embeddings/oleObject17.bin"/><Relationship Id="rId34" Type="http://schemas.openxmlformats.org/officeDocument/2006/relationships/image" Target="media/image15.wmf"/><Relationship Id="rId33" Type="http://schemas.openxmlformats.org/officeDocument/2006/relationships/oleObject" Target="embeddings/oleObject16.bin"/><Relationship Id="rId32" Type="http://schemas.openxmlformats.org/officeDocument/2006/relationships/image" Target="media/image14.wmf"/><Relationship Id="rId31" Type="http://schemas.openxmlformats.org/officeDocument/2006/relationships/oleObject" Target="embeddings/oleObject15.bin"/><Relationship Id="rId30" Type="http://schemas.openxmlformats.org/officeDocument/2006/relationships/image" Target="media/image13.wmf"/><Relationship Id="rId3" Type="http://schemas.openxmlformats.org/officeDocument/2006/relationships/theme" Target="theme/theme1.xml"/><Relationship Id="rId29" Type="http://schemas.openxmlformats.org/officeDocument/2006/relationships/oleObject" Target="embeddings/oleObject14.bin"/><Relationship Id="rId28" Type="http://schemas.openxmlformats.org/officeDocument/2006/relationships/image" Target="media/image12.wmf"/><Relationship Id="rId27" Type="http://schemas.openxmlformats.org/officeDocument/2006/relationships/oleObject" Target="embeddings/oleObject13.bin"/><Relationship Id="rId26" Type="http://schemas.openxmlformats.org/officeDocument/2006/relationships/image" Target="media/image11.wmf"/><Relationship Id="rId25" Type="http://schemas.openxmlformats.org/officeDocument/2006/relationships/oleObject" Target="embeddings/oleObject12.bin"/><Relationship Id="rId24" Type="http://schemas.openxmlformats.org/officeDocument/2006/relationships/oleObject" Target="embeddings/oleObject11.bin"/><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19</Pages>
  <Words>1594</Words>
  <Characters>9086</Characters>
  <Lines>75</Lines>
  <Paragraphs>21</Paragraphs>
  <TotalTime>90</TotalTime>
  <ScaleCrop>false</ScaleCrop>
  <LinksUpToDate>false</LinksUpToDate>
  <CharactersWithSpaces>10659</CharactersWithSpaces>
  <Application>WPS Office_11.1.0.8205_F1E327BC-269C-435d-A152-05C5408002CA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2018-12-16T18:39:00Z</dcterms:created>
  <dc:creator>Xinhang Wang</dc:creator>
  <cp:lastModifiedBy>野神</cp:lastModifiedBy>
  <dcterms:modified xsi:type="dcterms:W3CDTF">2018-12-16T22:26:46Z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