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CDCEF">
      <w:pPr>
        <w:pStyle w:val="2"/>
        <w:spacing w:before="62" w:line="183" w:lineRule="auto"/>
        <w:ind w:left="18"/>
        <w:outlineLvl w:val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王旭辉</w:t>
      </w:r>
    </w:p>
    <w:p w14:paraId="397E2597">
      <w:pPr>
        <w:pStyle w:val="2"/>
        <w:spacing w:before="62" w:line="183" w:lineRule="auto"/>
        <w:ind w:left="18"/>
        <w:outlineLvl w:val="0"/>
      </w:pPr>
      <w:r>
        <w:rPr>
          <w:rFonts w:hint="eastAsia"/>
          <w:spacing w:val="30"/>
          <w:lang w:val="en-US" w:eastAsia="zh-CN"/>
        </w:rPr>
        <w:t xml:space="preserve">18100549550 </w:t>
      </w:r>
      <w:r>
        <w:rPr>
          <w:spacing w:val="11"/>
        </w:rPr>
        <w:t>丨</w:t>
      </w:r>
      <w:r>
        <w:rPr>
          <w:rFonts w:hint="eastAsia"/>
          <w:spacing w:val="11"/>
          <w:lang w:val="en-US" w:eastAsia="zh-CN"/>
        </w:rPr>
        <w:t>wxh.simoo@gmail.com</w:t>
      </w:r>
      <w:r>
        <w:fldChar w:fldCharType="begin"/>
      </w:r>
      <w:r>
        <w:instrText xml:space="preserve"> HYPERLINK "mailto:yezijunqwq@gmail.com" </w:instrText>
      </w:r>
      <w:r>
        <w:fldChar w:fldCharType="separate"/>
      </w:r>
      <w:r>
        <w:fldChar w:fldCharType="end"/>
      </w:r>
    </w:p>
    <w:p w14:paraId="503205BA">
      <w:pPr>
        <w:pStyle w:val="2"/>
        <w:spacing w:before="62" w:line="183" w:lineRule="auto"/>
        <w:ind w:left="18"/>
        <w:outlineLvl w:val="0"/>
        <w:rPr>
          <w:spacing w:val="-1"/>
        </w:rPr>
      </w:pPr>
      <w:r>
        <w:rPr>
          <w:spacing w:val="-1"/>
        </w:rPr>
        <w:t>工作年限:</w:t>
      </w:r>
      <w:r>
        <w:rPr>
          <w:spacing w:val="51"/>
        </w:rPr>
        <w:t xml:space="preserve"> </w:t>
      </w:r>
      <w:r>
        <w:rPr>
          <w:rFonts w:hint="eastAsia"/>
          <w:spacing w:val="51"/>
          <w:lang w:val="en-US" w:eastAsia="zh-CN"/>
        </w:rPr>
        <w:t>7</w:t>
      </w:r>
      <w:r>
        <w:rPr>
          <w:spacing w:val="-1"/>
        </w:rPr>
        <w:t>年</w:t>
      </w:r>
      <w:r>
        <w:rPr>
          <w:rFonts w:hint="eastAsia"/>
          <w:spacing w:val="-1"/>
          <w:lang w:val="en-US" w:eastAsia="zh-CN"/>
        </w:rPr>
        <w:t xml:space="preserve">  </w:t>
      </w:r>
      <w:r>
        <w:rPr>
          <w:spacing w:val="-1"/>
        </w:rPr>
        <w:t>|</w:t>
      </w:r>
      <w:r>
        <w:rPr>
          <w:rFonts w:hint="eastAsia"/>
          <w:spacing w:val="-1"/>
          <w:lang w:val="en-US" w:eastAsia="zh-CN"/>
        </w:rPr>
        <w:t xml:space="preserve">  </w:t>
      </w:r>
      <w:r>
        <w:rPr>
          <w:rFonts w:hint="eastAsia"/>
          <w:spacing w:val="29"/>
          <w:lang w:val="en-US" w:eastAsia="zh-CN"/>
        </w:rPr>
        <w:t>17</w:t>
      </w:r>
      <w:r>
        <w:rPr>
          <w:spacing w:val="-1"/>
        </w:rPr>
        <w:t>届本科</w:t>
      </w:r>
      <w:r>
        <w:rPr>
          <w:rFonts w:hint="eastAsia"/>
          <w:spacing w:val="-1"/>
          <w:lang w:val="en-US" w:eastAsia="zh-CN"/>
        </w:rPr>
        <w:t xml:space="preserve">  </w:t>
      </w:r>
      <w:r>
        <w:rPr>
          <w:spacing w:val="-1"/>
        </w:rPr>
        <w:t>丨</w:t>
      </w:r>
      <w:r>
        <w:rPr>
          <w:rFonts w:hint="eastAsia"/>
          <w:spacing w:val="-1"/>
          <w:lang w:val="en-US" w:eastAsia="zh-CN"/>
        </w:rPr>
        <w:t xml:space="preserve">  后端</w:t>
      </w:r>
      <w:r>
        <w:rPr>
          <w:spacing w:val="-1"/>
        </w:rPr>
        <w:t>开发工程师</w:t>
      </w:r>
    </w:p>
    <w:p w14:paraId="2E68A224">
      <w:pPr>
        <w:pStyle w:val="2"/>
        <w:keepNext w:val="0"/>
        <w:keepLines w:val="0"/>
        <w:pageBreakBefore w:val="0"/>
        <w:widowControl/>
        <w:pBdr>
          <w:bottom w:val="single" w:color="auto" w:sz="4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2" w:line="240" w:lineRule="auto"/>
        <w:ind w:left="17"/>
        <w:textAlignment w:val="baseline"/>
        <w:outlineLvl w:val="0"/>
        <w:rPr>
          <w:rFonts w:hint="eastAsia"/>
          <w:b/>
          <w:bCs/>
          <w:spacing w:val="-1"/>
          <w:sz w:val="24"/>
          <w:szCs w:val="24"/>
          <w:lang w:val="en-US" w:eastAsia="zh-CN"/>
        </w:rPr>
      </w:pPr>
      <w:r>
        <w:rPr>
          <w:rFonts w:hint="eastAsia"/>
          <w:b/>
          <w:bCs/>
          <w:spacing w:val="-1"/>
          <w:sz w:val="24"/>
          <w:szCs w:val="24"/>
          <w:lang w:val="en-US" w:eastAsia="zh-CN"/>
        </w:rPr>
        <w:t>专业技能</w:t>
      </w:r>
    </w:p>
    <w:p w14:paraId="17B27A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en-US" w:bidi="ar-SA"/>
        </w:rPr>
        <w:t>熟悉 Go、PHP ，具备扎实的编码、调试与工程化能力</w:t>
      </w:r>
    </w:p>
    <w:p w14:paraId="0F18DA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en-US" w:bidi="ar-SA"/>
        </w:rPr>
        <w:t>熟悉 Kafka、RabbitMQ 的应用与实践</w:t>
      </w:r>
    </w:p>
    <w:p w14:paraId="3CC698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en-US" w:bidi="ar-SA"/>
        </w:rPr>
        <w:t>熟悉 MySQL、Redis 的使用与优化，具备性能调优经验</w:t>
      </w:r>
    </w:p>
    <w:p w14:paraId="50C5F6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en-US" w:bidi="ar-SA"/>
        </w:rPr>
        <w:t>熟悉 插件化体系架构设计，包括插件生命周期管理、状态机、调度控制与运行时隔离</w:t>
      </w:r>
    </w:p>
    <w:p w14:paraId="0334A0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en-US" w:bidi="ar-SA"/>
        </w:rPr>
        <w:t>熟悉 事件驱动架构，具备基于 Saga 模式 实现跨系统最终一致性事务的经验</w:t>
      </w:r>
    </w:p>
    <w:p w14:paraId="1989A7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en-US" w:bidi="ar-SA"/>
        </w:rPr>
        <w:t>了解 Kubernetes、Docker 在应用容器化与部署中的使用</w:t>
      </w:r>
    </w:p>
    <w:p w14:paraId="3CEA4F34">
      <w:pPr>
        <w:pStyle w:val="2"/>
        <w:keepNext w:val="0"/>
        <w:keepLines w:val="0"/>
        <w:pageBreakBefore w:val="0"/>
        <w:widowControl/>
        <w:pBdr>
          <w:bottom w:val="single" w:color="auto" w:sz="4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2" w:line="240" w:lineRule="auto"/>
        <w:ind w:left="17"/>
        <w:textAlignment w:val="baseline"/>
        <w:outlineLvl w:val="0"/>
        <w:rPr>
          <w:rFonts w:hint="eastAsia"/>
          <w:b/>
          <w:bCs/>
          <w:spacing w:val="-1"/>
          <w:sz w:val="24"/>
          <w:szCs w:val="24"/>
          <w:lang w:val="en-US" w:eastAsia="zh-CN"/>
        </w:rPr>
      </w:pPr>
      <w:r>
        <w:rPr>
          <w:rFonts w:hint="eastAsia"/>
          <w:b/>
          <w:bCs/>
          <w:spacing w:val="-1"/>
          <w:sz w:val="24"/>
          <w:szCs w:val="24"/>
          <w:lang w:val="en-US" w:eastAsia="zh-CN"/>
        </w:rPr>
        <w:t>工作经历</w:t>
      </w:r>
    </w:p>
    <w:p w14:paraId="29134759">
      <w:pPr>
        <w:pStyle w:val="9"/>
        <w:spacing w:before="105" w:line="225" w:lineRule="auto"/>
        <w:ind w:left="2"/>
        <w:rPr>
          <w:rFonts w:hint="default" w:ascii="微软雅黑" w:hAnsi="微软雅黑" w:eastAsia="微软雅黑" w:cs="微软雅黑"/>
          <w:lang w:val="en-US" w:eastAsia="zh-CN"/>
        </w:rPr>
      </w:pPr>
      <w:r>
        <w:rPr>
          <w:b/>
          <w:bCs/>
          <w:spacing w:val="4"/>
        </w:rPr>
        <w:t xml:space="preserve">深圳复临信息科技有限公司（ </w:t>
      </w:r>
      <w:r>
        <w:rPr>
          <w:b/>
          <w:bCs/>
        </w:rPr>
        <w:t>ONES</w:t>
      </w:r>
      <w:r>
        <w:rPr>
          <w:b/>
          <w:bCs/>
          <w:spacing w:val="4"/>
        </w:rPr>
        <w:t xml:space="preserve"> ）</w:t>
      </w:r>
      <w:r>
        <w:rPr>
          <w:b/>
          <w:bCs/>
          <w:spacing w:val="1"/>
        </w:rPr>
        <w:t xml:space="preserve">                                             </w:t>
      </w:r>
      <w:r>
        <w:rPr>
          <w:b/>
          <w:bCs/>
        </w:rPr>
        <w:t xml:space="preserve">                                     </w:t>
      </w:r>
      <w:r>
        <w:rPr>
          <w:rFonts w:hint="eastAsia"/>
          <w:b/>
          <w:bCs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spacing w:val="4"/>
        </w:rPr>
        <w:t>2020.</w:t>
      </w:r>
      <w:r>
        <w:rPr>
          <w:rFonts w:hint="eastAsia" w:ascii="微软雅黑" w:hAnsi="微软雅黑" w:eastAsia="微软雅黑" w:cs="微软雅黑"/>
          <w:spacing w:val="4"/>
          <w:lang w:val="en-US" w:eastAsia="zh-CN"/>
        </w:rPr>
        <w:t xml:space="preserve">10 - </w:t>
      </w:r>
      <w:r>
        <w:rPr>
          <w:rFonts w:hint="eastAsia" w:ascii="微软雅黑" w:hAnsi="微软雅黑" w:eastAsia="微软雅黑" w:cs="微软雅黑"/>
          <w:spacing w:val="4"/>
        </w:rPr>
        <w:t>20</w:t>
      </w:r>
      <w:r>
        <w:rPr>
          <w:rFonts w:hint="eastAsia" w:cs="微软雅黑"/>
          <w:spacing w:val="4"/>
          <w:lang w:val="en-US" w:eastAsia="zh-CN"/>
        </w:rPr>
        <w:t>25</w:t>
      </w:r>
      <w:r>
        <w:rPr>
          <w:rFonts w:hint="eastAsia" w:ascii="微软雅黑" w:hAnsi="微软雅黑" w:eastAsia="微软雅黑" w:cs="微软雅黑"/>
          <w:spacing w:val="4"/>
        </w:rPr>
        <w:t>.</w:t>
      </w:r>
      <w:r>
        <w:rPr>
          <w:rFonts w:hint="eastAsia" w:cs="微软雅黑"/>
          <w:spacing w:val="4"/>
          <w:lang w:val="en-US" w:eastAsia="zh-CN"/>
        </w:rPr>
        <w:t>02</w:t>
      </w:r>
    </w:p>
    <w:p w14:paraId="63CC24D3">
      <w:pPr>
        <w:pStyle w:val="9"/>
        <w:spacing w:before="18" w:line="184" w:lineRule="auto"/>
        <w:ind w:left="4"/>
        <w:rPr>
          <w:spacing w:val="6"/>
        </w:rPr>
      </w:pPr>
      <w:r>
        <w:rPr>
          <w:rFonts w:hint="eastAsia"/>
          <w:spacing w:val="6"/>
          <w:lang w:val="en-US" w:eastAsia="zh-CN"/>
        </w:rPr>
        <w:t>后端</w:t>
      </w:r>
      <w:r>
        <w:rPr>
          <w:spacing w:val="6"/>
        </w:rPr>
        <w:t>开发工程师</w:t>
      </w:r>
      <w:r>
        <w:rPr>
          <w:spacing w:val="30"/>
        </w:rPr>
        <w:t xml:space="preserve"> </w:t>
      </w:r>
      <w:r>
        <w:rPr>
          <w:spacing w:val="6"/>
        </w:rPr>
        <w:t>开放平台</w:t>
      </w:r>
    </w:p>
    <w:p w14:paraId="51CC82B1"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3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公司专注研发 ONES 企业研发管理工具（对标 Jira），已在国内市场处于行业领先地位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开放平台旨在基于 ONES 系统构建 插件体系与开放能力，为有定制化需求的客户提供灵活扩展方案，通过插件满足个性化场景，显著提升成单率与客户满意度</w:t>
      </w:r>
    </w:p>
    <w:p w14:paraId="689E7227">
      <w:pPr>
        <w:pStyle w:val="9"/>
        <w:spacing w:before="2" w:line="233" w:lineRule="auto"/>
        <w:ind w:left="3" w:right="6089"/>
      </w:pPr>
      <w:r>
        <w:rPr>
          <w:b/>
          <w:bCs/>
          <w:spacing w:val="4"/>
        </w:rPr>
        <w:t>开放平台官网 ：</w:t>
      </w:r>
      <w:r>
        <w:fldChar w:fldCharType="begin"/>
      </w:r>
      <w:r>
        <w:instrText xml:space="preserve"> HYPERLINK "https://developer.ones.com/" </w:instrText>
      </w:r>
      <w:r>
        <w:fldChar w:fldCharType="separate"/>
      </w:r>
      <w:r>
        <w:rPr>
          <w:color w:val="4183FF"/>
          <w:u w:val="single" w:color="auto"/>
        </w:rPr>
        <w:t>https</w:t>
      </w:r>
      <w:r>
        <w:rPr>
          <w:color w:val="4183FF"/>
          <w:spacing w:val="16"/>
          <w:u w:val="single" w:color="auto"/>
        </w:rPr>
        <w:t>://</w:t>
      </w:r>
      <w:r>
        <w:rPr>
          <w:color w:val="4183FF"/>
          <w:u w:val="single" w:color="auto"/>
        </w:rPr>
        <w:t>developer</w:t>
      </w:r>
      <w:r>
        <w:rPr>
          <w:color w:val="4183FF"/>
          <w:spacing w:val="16"/>
          <w:u w:val="single" w:color="auto"/>
        </w:rPr>
        <w:t>.</w:t>
      </w:r>
      <w:r>
        <w:rPr>
          <w:color w:val="4183FF"/>
          <w:u w:val="single" w:color="auto"/>
        </w:rPr>
        <w:t>ones</w:t>
      </w:r>
      <w:r>
        <w:rPr>
          <w:color w:val="4183FF"/>
          <w:spacing w:val="16"/>
          <w:u w:val="single" w:color="auto"/>
        </w:rPr>
        <w:t>.</w:t>
      </w:r>
      <w:r>
        <w:rPr>
          <w:color w:val="4183FF"/>
          <w:u w:val="single" w:color="auto"/>
        </w:rPr>
        <w:t>com</w:t>
      </w:r>
      <w:r>
        <w:rPr>
          <w:color w:val="4183FF"/>
          <w:spacing w:val="16"/>
          <w:u w:val="single" w:color="auto"/>
        </w:rPr>
        <w:t>/</w:t>
      </w:r>
      <w:r>
        <w:rPr>
          <w:color w:val="4183FF"/>
          <w:spacing w:val="16"/>
          <w:u w:val="single" w:color="auto"/>
        </w:rPr>
        <w:fldChar w:fldCharType="end"/>
      </w:r>
      <w:r>
        <w:rPr>
          <w:b/>
          <w:bCs/>
          <w:spacing w:val="4"/>
        </w:rPr>
        <w:t>主要工作 ：</w:t>
      </w:r>
    </w:p>
    <w:p w14:paraId="5C09FA6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-  参与设计搭建初版插件体系，实现核心系统与扩展功能的解耦，支持第三方开发者灵活定制和扩展</w:t>
      </w:r>
    </w:p>
    <w:p w14:paraId="72D8182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-  参与设计搭建插件调度系统，实时监控插件状态并自动纠偏，确保插件实际状态与期望状态一致</w:t>
      </w:r>
    </w:p>
    <w:p w14:paraId="71A0704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-  设计搭建事件订阅系统， 支持灵活订阅与实时推送，提升合作伙伴系统的集成效率和响应速度</w:t>
      </w:r>
    </w:p>
    <w:p w14:paraId="4CA4403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-  参与设计搭建OpenAPI体系，统一对外开放服务接口，促进第三方集成与生态构建</w:t>
      </w:r>
    </w:p>
    <w:p w14:paraId="02936A0C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-  参与设计搭建开放体系，将业务流程抽象为标准化</w:t>
      </w:r>
      <w:r>
        <w:rPr>
          <w:rFonts w:hint="default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功能扩展点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，</w:t>
      </w:r>
      <w:r>
        <w:rPr>
          <w:rFonts w:hint="default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结合契约接口设计，支持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功能</w:t>
      </w:r>
      <w:r>
        <w:rPr>
          <w:rFonts w:hint="default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动态加载与热插拔</w:t>
      </w:r>
    </w:p>
    <w:p w14:paraId="56F8DC53">
      <w:pPr>
        <w:pStyle w:val="9"/>
        <w:spacing w:before="2" w:line="233" w:lineRule="auto"/>
        <w:ind w:left="3" w:right="6089"/>
        <w:rPr>
          <w:b/>
          <w:bCs/>
          <w:spacing w:val="4"/>
        </w:rPr>
      </w:pPr>
      <w:r>
        <w:rPr>
          <w:b/>
          <w:bCs/>
          <w:spacing w:val="4"/>
        </w:rPr>
        <w:t>成就 ：</w:t>
      </w:r>
    </w:p>
    <w:p w14:paraId="69813C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3"/>
          <w:kern w:val="0"/>
          <w:sz w:val="20"/>
          <w:szCs w:val="20"/>
          <w:lang w:val="en-US" w:eastAsia="zh-CN" w:bidi="ar-SA"/>
        </w:rPr>
        <w:t xml:space="preserve">- 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推动公司转型为插件交付模式，显著提升交付效率与产品灵活性</w:t>
      </w:r>
    </w:p>
    <w:p w14:paraId="00901C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 xml:space="preserve">-  参与并推动平台从零到一的设计与搭建，构建了基础架构和核心能力 </w:t>
      </w:r>
    </w:p>
    <w:p w14:paraId="5FD3A55D">
      <w:pPr>
        <w:pStyle w:val="9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5" w:line="240" w:lineRule="auto"/>
        <w:ind w:left="0"/>
        <w:textAlignment w:val="baseline"/>
        <w:rPr>
          <w:rFonts w:hint="default" w:eastAsia="微软雅黑"/>
          <w:b/>
          <w:bCs/>
          <w:spacing w:val="4"/>
          <w:lang w:val="en-US" w:eastAsia="zh-CN"/>
        </w:rPr>
      </w:pPr>
      <w:r>
        <w:rPr>
          <w:b/>
          <w:bCs/>
          <w:spacing w:val="4"/>
        </w:rPr>
        <w:t>深圳市啪啪运动科技有限公司</w:t>
      </w:r>
      <w:r>
        <w:rPr>
          <w:rFonts w:hint="eastAsia"/>
          <w:b/>
          <w:bCs/>
          <w:spacing w:val="4"/>
          <w:lang w:val="en-US" w:eastAsia="zh-CN"/>
        </w:rPr>
        <w:t xml:space="preserve">                                                                                              </w:t>
      </w:r>
      <w:r>
        <w:rPr>
          <w:rFonts w:hint="eastAsia" w:ascii="微软雅黑" w:hAnsi="微软雅黑" w:eastAsia="微软雅黑" w:cs="微软雅黑"/>
          <w:spacing w:val="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4"/>
        </w:rPr>
        <w:t>20</w:t>
      </w:r>
      <w:r>
        <w:rPr>
          <w:rFonts w:hint="eastAsia" w:ascii="微软雅黑" w:hAnsi="微软雅黑" w:eastAsia="微软雅黑" w:cs="微软雅黑"/>
          <w:spacing w:val="4"/>
          <w:lang w:val="en-US" w:eastAsia="zh-CN"/>
        </w:rPr>
        <w:t>18</w:t>
      </w:r>
      <w:r>
        <w:rPr>
          <w:rFonts w:hint="eastAsia" w:ascii="微软雅黑" w:hAnsi="微软雅黑" w:eastAsia="微软雅黑" w:cs="微软雅黑"/>
          <w:spacing w:val="4"/>
        </w:rPr>
        <w:t>.</w:t>
      </w:r>
      <w:r>
        <w:rPr>
          <w:rFonts w:hint="eastAsia" w:ascii="微软雅黑" w:hAnsi="微软雅黑" w:eastAsia="微软雅黑" w:cs="微软雅黑"/>
          <w:spacing w:val="4"/>
          <w:lang w:val="en-US" w:eastAsia="zh-CN"/>
        </w:rPr>
        <w:t xml:space="preserve">09 - </w:t>
      </w:r>
      <w:r>
        <w:rPr>
          <w:rFonts w:hint="eastAsia" w:ascii="微软雅黑" w:hAnsi="微软雅黑" w:eastAsia="微软雅黑" w:cs="微软雅黑"/>
          <w:spacing w:val="4"/>
        </w:rPr>
        <w:t>20</w:t>
      </w:r>
      <w:r>
        <w:rPr>
          <w:rFonts w:hint="eastAsia" w:ascii="微软雅黑" w:hAnsi="微软雅黑" w:eastAsia="微软雅黑" w:cs="微软雅黑"/>
          <w:spacing w:val="4"/>
          <w:lang w:val="en-US" w:eastAsia="zh-CN"/>
        </w:rPr>
        <w:t xml:space="preserve">20.09   </w:t>
      </w:r>
      <w:r>
        <w:rPr>
          <w:rFonts w:hint="eastAsia"/>
          <w:b/>
          <w:bCs/>
          <w:spacing w:val="4"/>
          <w:lang w:val="en-US" w:eastAsia="zh-CN"/>
        </w:rPr>
        <w:t xml:space="preserve">     </w:t>
      </w:r>
    </w:p>
    <w:p w14:paraId="78705401">
      <w:pPr>
        <w:pStyle w:val="9"/>
        <w:spacing w:before="18" w:line="184" w:lineRule="auto"/>
        <w:ind w:left="4"/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后端开发工程师</w:t>
      </w:r>
    </w:p>
    <w:p w14:paraId="1843C249">
      <w:pPr>
        <w:pStyle w:val="9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6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专注智慧体育数字化解决方案，服务全国多家大型场馆与政府机构</w:t>
      </w:r>
    </w:p>
    <w:p w14:paraId="107F8CDF">
      <w:pPr>
        <w:pStyle w:val="9"/>
        <w:spacing w:before="2" w:line="233" w:lineRule="auto"/>
        <w:ind w:left="3" w:right="6089"/>
        <w:rPr>
          <w:rFonts w:hint="default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b/>
          <w:bCs/>
          <w:spacing w:val="4"/>
        </w:rPr>
        <w:t>主要工作 ：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 xml:space="preserve"> </w:t>
      </w:r>
    </w:p>
    <w:p w14:paraId="0115AF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-  与前端、产品、测试团队紧密协作，推动产品迭代</w:t>
      </w:r>
    </w:p>
    <w:p w14:paraId="46B5BC82">
      <w:pPr>
        <w:pStyle w:val="2"/>
        <w:keepNext w:val="0"/>
        <w:keepLines w:val="0"/>
        <w:pageBreakBefore w:val="0"/>
        <w:widowControl/>
        <w:pBdr>
          <w:bottom w:val="single" w:color="auto" w:sz="4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2" w:line="240" w:lineRule="auto"/>
        <w:ind w:left="17"/>
        <w:textAlignment w:val="baseline"/>
        <w:outlineLvl w:val="0"/>
        <w:rPr>
          <w:rFonts w:hint="default"/>
          <w:b/>
          <w:bCs/>
          <w:spacing w:val="-1"/>
          <w:sz w:val="24"/>
          <w:szCs w:val="24"/>
          <w:lang w:val="en-US" w:eastAsia="zh-CN"/>
        </w:rPr>
      </w:pPr>
      <w:r>
        <w:rPr>
          <w:rFonts w:hint="eastAsia"/>
          <w:b/>
          <w:bCs/>
          <w:spacing w:val="-1"/>
          <w:sz w:val="24"/>
          <w:szCs w:val="24"/>
          <w:lang w:val="en-US" w:eastAsia="zh-CN"/>
        </w:rPr>
        <w:t>项目经历</w:t>
      </w:r>
    </w:p>
    <w:p w14:paraId="4762C76B">
      <w:pPr>
        <w:pStyle w:val="9"/>
        <w:spacing w:before="2" w:line="233" w:lineRule="auto"/>
        <w:ind w:left="3" w:right="6089"/>
        <w:rPr>
          <w:rFonts w:hint="eastAsia"/>
          <w:b/>
          <w:bCs/>
          <w:spacing w:val="4"/>
          <w:lang w:val="en-US" w:eastAsia="zh-CN"/>
        </w:rPr>
      </w:pPr>
      <w:r>
        <w:rPr>
          <w:rFonts w:hint="eastAsia"/>
          <w:b/>
          <w:bCs/>
          <w:spacing w:val="4"/>
          <w:lang w:val="en-US" w:eastAsia="zh-CN"/>
        </w:rPr>
        <w:t>插件调度系统</w:t>
      </w:r>
    </w:p>
    <w:p w14:paraId="75E1F68B">
      <w:pPr>
        <w:keepNext w:val="0"/>
        <w:keepLines w:val="0"/>
        <w:widowControl/>
        <w:suppressLineNumbers w:val="0"/>
        <w:ind w:firstLine="212" w:firstLineChars="10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初版插件体系在生命周期管理、状态同步与容错机制等核心环节面临显著挑战，制约了系统整体稳定性与生态发展</w:t>
      </w:r>
    </w:p>
    <w:p w14:paraId="623A0300">
      <w:pPr>
        <w:pStyle w:val="9"/>
        <w:spacing w:before="2" w:line="233" w:lineRule="auto"/>
        <w:ind w:left="3" w:right="6089"/>
      </w:pPr>
      <w:r>
        <w:rPr>
          <w:b/>
          <w:bCs/>
          <w:spacing w:val="4"/>
        </w:rPr>
        <w:t>主要工作 ：</w:t>
      </w:r>
    </w:p>
    <w:p w14:paraId="5DAA747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-  系统架构：参与设计并实现高可用插件化系统，采用控制平面（Plugin-Platform + Plugin-Runtime-Manager）与数据平面（Plugin-Host）分离架构。通过声明式 API 管理插件全生命周期，由 Plugin-Host-Boot 负责数据平面节点进程的生命周期管理，并依托 Node.js VM 沙箱与ZeroMQ+Protobuf 高性能通信，保障插件安全隔离与系统稳定扩展</w:t>
      </w:r>
    </w:p>
    <w:p w14:paraId="7B4CBCB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-  插件生命周期管理：构建基于有限状态机的插件生命周期管理体系（安装、启用、停用、卸载），设计期望状态、实例状态与过程状态三层状态模型，确保状态流转严格有序、可预测且全程可追溯。</w:t>
      </w:r>
    </w:p>
    <w:p w14:paraId="3E04F6F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-  分布式最终一致性事务： 构建基于事件驱动架构的编排式 Saga 事务系统，用于协调涉及多个外部系统的插件业务操作（如能力注册）。通过持久化工作队列与协调器协程，驱动具备可重试、可补偿特性的分布式事务流程，确保跨系统操作的最终一致性、幂等性与故障恢复能力</w:t>
      </w:r>
    </w:p>
    <w:p w14:paraId="036A6E8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-  调度控制： 借鉴 Kubernetes 控制器模式，为核心插件实例的生命周期（启用/停用）设计独立的状态调谐循环。通过监听期望状态与实际状态差异，并经由事件驱动触发相应的控制指令，实现实例状态的自动化对齐、自我修复与高效调度</w:t>
      </w:r>
    </w:p>
    <w:p w14:paraId="7F69867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-  安全与隔离：在 Plugin-Host 层基于 Node.js vm 模块实现插件运行时沙箱隔离，严格限制插件对宿主资源的访问，确保多租户环境下的安全性与稳定性</w:t>
      </w:r>
    </w:p>
    <w:p w14:paraId="7F8A50D2">
      <w:pPr>
        <w:pStyle w:val="9"/>
        <w:spacing w:before="2" w:line="233" w:lineRule="auto"/>
        <w:ind w:left="3" w:right="6089"/>
      </w:pPr>
      <w:r>
        <w:rPr>
          <w:rFonts w:hint="eastAsia"/>
          <w:b/>
          <w:bCs/>
          <w:spacing w:val="4"/>
          <w:lang w:val="en-US" w:eastAsia="zh-CN"/>
        </w:rPr>
        <w:t>成果</w:t>
      </w:r>
      <w:r>
        <w:rPr>
          <w:b/>
          <w:bCs/>
          <w:spacing w:val="4"/>
        </w:rPr>
        <w:t>：</w:t>
      </w:r>
    </w:p>
    <w:p w14:paraId="6103238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-  成功支撑插件稳定运行，系统可用性与可靠性显著提升</w:t>
      </w:r>
    </w:p>
    <w:p w14:paraId="11818BD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-  引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入基于事件驱动与Saga事务调度的异步协调机制，有效保障插件生命周期操作的最终一致性、可重试性与自动容错，显著提升系统在分布式环境下的可靠性</w:t>
      </w:r>
    </w:p>
    <w:p w14:paraId="1C49078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-  系统具备企业级可扩展性与最终一致性，依托插件级运行时安全隔离与故障快速自愈机制，为开放平台生态提供高可靠底层支撑</w:t>
      </w:r>
    </w:p>
    <w:p w14:paraId="6A854BF5">
      <w:pPr>
        <w:pStyle w:val="9"/>
        <w:spacing w:before="2" w:line="233" w:lineRule="auto"/>
        <w:ind w:left="3" w:right="6089"/>
        <w:rPr>
          <w:rFonts w:hint="eastAsia"/>
          <w:b/>
          <w:bCs/>
          <w:spacing w:val="4"/>
          <w:lang w:val="en-US" w:eastAsia="zh-CN"/>
        </w:rPr>
      </w:pPr>
      <w:r>
        <w:rPr>
          <w:rFonts w:hint="eastAsia"/>
          <w:b/>
          <w:bCs/>
          <w:spacing w:val="4"/>
          <w:lang w:val="en-US" w:eastAsia="zh-CN"/>
        </w:rPr>
        <w:t>事件订阅系统</w:t>
      </w:r>
    </w:p>
    <w:p w14:paraId="4406B94F">
      <w:pPr>
        <w:keepNext w:val="0"/>
        <w:keepLines w:val="0"/>
        <w:widowControl/>
        <w:suppressLineNumbers w:val="0"/>
        <w:ind w:firstLine="212" w:firstLineChars="10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当前插件采用轮询方式监听数据变化，产生大量无效请求，导致服务器压力大、资源浪费和响应延迟。为提升效率，所以引入了事件订阅系统，仅在数据变更时推送通知，显著降低了不必要的轮询开销，提高了系统性能和实时性</w:t>
      </w:r>
    </w:p>
    <w:p w14:paraId="24ACD3FF">
      <w:pPr>
        <w:pStyle w:val="9"/>
        <w:spacing w:before="2" w:line="233" w:lineRule="auto"/>
        <w:ind w:left="3" w:right="6089"/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/>
          <w:b/>
          <w:bCs/>
          <w:spacing w:val="4"/>
          <w:lang w:val="en-US" w:eastAsia="zh-CN"/>
        </w:rPr>
        <w:t>主要工作</w:t>
      </w:r>
      <w:r>
        <w:rPr>
          <w:b/>
          <w:bCs/>
          <w:spacing w:val="4"/>
        </w:rPr>
        <w:t xml:space="preserve"> ：</w:t>
      </w:r>
    </w:p>
    <w:p w14:paraId="7C6A15F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 xml:space="preserve">-  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事件转换模块：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从Kafka消费原始事件数据，并依据事件订阅模块所管理的动态规则，进行格式标准化、数据过滤与防腐化处理，最终将规范事件写入统一事件池（Kafka Topic），完成事件的初步清洗与汇聚</w:t>
      </w:r>
    </w:p>
    <w:p w14:paraId="733E7CB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 xml:space="preserve">-  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事件路由模块：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从统一事件池消费消息后，为每个事件异步启动协程任务，通过HTTP协议同步发送至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Plugin-Platform平台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。此过程内置了重试机制、熔断器（防止故障扩散）以及死信队列（隔离异常消息）等可靠性保障机制，确保事件投递的最终一致性。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Plugin-Platform平台再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负责将事件分派给相应的业务插件</w:t>
      </w:r>
    </w:p>
    <w:p w14:paraId="44D12865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 xml:space="preserve">-  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事件订阅模块：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负责对所有事件的订阅关系及其插件回调地址进行统一管理和配置，为事件转换与路由提供动态决策依据，实现了处理规则的可控与灵活变更</w:t>
      </w:r>
    </w:p>
    <w:p w14:paraId="01DDE319">
      <w:pPr>
        <w:pStyle w:val="9"/>
        <w:spacing w:before="2" w:line="233" w:lineRule="auto"/>
        <w:ind w:left="3" w:right="6089"/>
      </w:pPr>
      <w:r>
        <w:rPr>
          <w:rFonts w:hint="eastAsia"/>
          <w:b/>
          <w:bCs/>
          <w:spacing w:val="4"/>
          <w:lang w:val="en-US" w:eastAsia="zh-CN"/>
        </w:rPr>
        <w:t>成果</w:t>
      </w:r>
      <w:r>
        <w:rPr>
          <w:b/>
          <w:bCs/>
          <w:spacing w:val="4"/>
        </w:rPr>
        <w:t>：</w:t>
      </w:r>
    </w:p>
    <w:p w14:paraId="0068EE7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-  通过用事件推送替代原有轮询机制，有效减少无效查询请求，显著降低服务端负载和数据库访问压力，系统资源利用率得到优化</w:t>
      </w:r>
    </w:p>
    <w:p w14:paraId="79EFAC1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-  事件路由模块中协程异步任务与Kafka消费者组的架构设计，使系统可通过增加实例数快速扩展事件处理能力，更好应对业务流量波动</w:t>
      </w:r>
    </w:p>
    <w:p w14:paraId="05B4123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-  事件订阅模块提供统一、动态的规则管理界面，支持新插件快速订阅所需事件，插件接入周期缩短，系统灵活性和可维护性大幅增强</w:t>
      </w:r>
    </w:p>
    <w:p w14:paraId="12F0CE91">
      <w:pPr>
        <w:pStyle w:val="9"/>
        <w:spacing w:before="2" w:line="233" w:lineRule="auto"/>
        <w:ind w:left="3" w:right="6089"/>
        <w:rPr>
          <w:rFonts w:hint="default"/>
          <w:b/>
          <w:bCs/>
          <w:spacing w:val="4"/>
          <w:lang w:val="en-US" w:eastAsia="zh-CN"/>
        </w:rPr>
      </w:pPr>
      <w:r>
        <w:rPr>
          <w:rFonts w:hint="eastAsia"/>
          <w:b/>
          <w:bCs/>
          <w:spacing w:val="4"/>
          <w:lang w:val="en-US" w:eastAsia="zh-CN"/>
        </w:rPr>
        <w:t>Open API体系</w:t>
      </w:r>
    </w:p>
    <w:p w14:paraId="4E63EFD2">
      <w:pPr>
        <w:keepNext w:val="0"/>
        <w:keepLines w:val="0"/>
        <w:widowControl/>
        <w:suppressLineNumbers w:val="0"/>
        <w:ind w:firstLine="212" w:firstLineChars="100"/>
        <w:jc w:val="left"/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随着公司内部系统与外部合作伙伴的集成需求增加，原有系统接口零散且缺乏统一标准，存在数据结构不规范、接口防腐能力不足等问题，给对接与维护带来较大成本</w:t>
      </w:r>
    </w:p>
    <w:p w14:paraId="630F996A">
      <w:pPr>
        <w:pStyle w:val="9"/>
        <w:spacing w:before="2" w:line="233" w:lineRule="auto"/>
        <w:ind w:left="3" w:right="6089"/>
        <w:rPr>
          <w:rFonts w:hint="eastAsia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/>
          <w:b/>
          <w:bCs/>
          <w:spacing w:val="4"/>
          <w:lang w:val="en-US" w:eastAsia="zh-CN"/>
        </w:rPr>
        <w:t>主要工作</w:t>
      </w:r>
      <w:r>
        <w:rPr>
          <w:b/>
          <w:bCs/>
          <w:spacing w:val="4"/>
        </w:rPr>
        <w:t xml:space="preserve"> ：</w:t>
      </w:r>
    </w:p>
    <w:p w14:paraId="78D04D0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-  统一认证与鉴权：基于 OAuth 2.0 授权码模式 实现 oauth-api 服务，负责 OAuth Client 管理、授权与鉴权逻辑。设计并实现 Scope 权限模型，支持精细化权限控制，提升安全性和可扩展性</w:t>
      </w:r>
    </w:p>
    <w:p w14:paraId="43E7E72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-  统一网关层：开发 API 网关，统一入口，校验接口路径、调用鉴权中心、转发至业务服务。对外接口遵循RESTful与RPC混合风格，提升开发者接入体验</w:t>
      </w:r>
    </w:p>
    <w:p w14:paraId="7741037C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-  业务服务防腐层改造：在业务服务中新启独立端口与 Controller + Service 层：Controller 层负责接收 API 请求。新 Service 层组合调用原有逻辑，完成数据标准化、过滤与防腐处理，避免外部接口与内部模型强耦合。并统一返回结构与错误码标准</w:t>
      </w:r>
    </w:p>
    <w:p w14:paraId="179B10EA">
      <w:pPr>
        <w:pStyle w:val="9"/>
        <w:spacing w:before="2" w:line="233" w:lineRule="auto"/>
        <w:ind w:left="3" w:right="6089"/>
      </w:pPr>
      <w:r>
        <w:rPr>
          <w:rFonts w:hint="eastAsia"/>
          <w:b/>
          <w:bCs/>
          <w:spacing w:val="4"/>
          <w:lang w:val="en-US" w:eastAsia="zh-CN"/>
        </w:rPr>
        <w:t>成果</w:t>
      </w:r>
      <w:r>
        <w:rPr>
          <w:b/>
          <w:bCs/>
          <w:spacing w:val="4"/>
        </w:rPr>
        <w:t>：</w:t>
      </w:r>
    </w:p>
    <w:p w14:paraId="578907E0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-  建立统一对外 API 平台，实现公司能力标准化输出，完善开放平台生态</w:t>
      </w:r>
    </w:p>
    <w:p w14:paraId="1DFA76E6">
      <w:pPr>
        <w:keepNext w:val="0"/>
        <w:keepLines w:val="0"/>
        <w:widowControl/>
        <w:suppressLineNumbers w:val="0"/>
        <w:jc w:val="left"/>
        <w:rPr>
          <w:rFonts w:ascii="Arial"/>
          <w:sz w:val="2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-  接口结构与错误码统一，降低接入方学习成本，提升开发者体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spacing w:val="6"/>
          <w:kern w:val="0"/>
          <w:sz w:val="20"/>
          <w:szCs w:val="20"/>
          <w:lang w:val="en-US" w:eastAsia="zh-CN" w:bidi="ar-SA"/>
        </w:rPr>
        <w:t>验</w:t>
      </w:r>
    </w:p>
    <w:sectPr>
      <w:type w:val="continuous"/>
      <w:pgSz w:w="11900" w:h="16840"/>
      <w:pgMar w:top="641" w:right="700" w:bottom="0" w:left="701" w:header="0" w:footer="0" w:gutter="0"/>
      <w:cols w:equalWidth="0" w:num="1">
        <w:col w:w="10499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F0A1DF9"/>
    <w:rsid w:val="32DF2191"/>
    <w:rsid w:val="3E09134A"/>
    <w:rsid w:val="42845443"/>
    <w:rsid w:val="4E34493E"/>
    <w:rsid w:val="55202DAA"/>
    <w:rsid w:val="6CA914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2019</Words>
  <Characters>2323</Characters>
  <TotalTime>38</TotalTime>
  <ScaleCrop>false</ScaleCrop>
  <LinksUpToDate>false</LinksUpToDate>
  <CharactersWithSpaces>2634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2024-01-08T13:47:00Z</dcterms:created>
  <dc:creator>TCSL</dc:creator>
  <cp:lastModifiedBy>---</cp:lastModifiedBy>
  <dcterms:modified xsi:type="dcterms:W3CDTF">2025-08-31T09:49:12Z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2025-08-12T10:49:25Z</vt:filetime>
  </property>
  <property fmtid="{D5CDD505-2E9C-101B-9397-08002B2CF9AE}" pid="4" name="KSOTemplateDocerSaveRecord">
    <vt:lpwstr>eyJoZGlkIjoiNDk3ODE2MjkwM2Q2NDg0YTI5Yjk5MzY0MzY0ZTRkOGIiLCJ1c2VySWQiOiI4ODk0NDkxOTUifQ==</vt:lpwstr>
  </property>
  <property fmtid="{D5CDD505-2E9C-101B-9397-08002B2CF9AE}" pid="5" name="KSOProductBuildVer">
    <vt:lpwstr>2052-12.1.0.21915</vt:lpwstr>
  </property>
  <property fmtid="{D5CDD505-2E9C-101B-9397-08002B2CF9AE}" pid="6" name="ICV">
    <vt:lpwstr>615C0D800F684F8E9F1EF410075709FF_13</vt:lpwstr>
  </property>
</Properties>
</file>