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3B66"/>
          <w:sz w:val="52"/>
          <w:rFonts w:eastAsia="黑体" w:ascii="Times New Roman" w:hAnsi="Times New Roman"/>
        </w:rPr>
        <w:t>TROP2 裂解态小蛋白抑制剂设计平台</w:t>
      </w:r>
    </w:p>
    <w:p>
      <w:pPr>
        <w:jc w:val="center"/>
      </w:pPr>
      <w:r>
        <w:rPr>
          <w:b/>
          <w:color w:val="0D3B66"/>
          <w:sz w:val="40"/>
          <w:rFonts w:eastAsia="黑体" w:ascii="Times New Roman" w:hAnsi="Times New Roman"/>
        </w:rPr>
        <w:t>代码整体流程讲解</w:t>
      </w:r>
    </w:p>
    <w:p>
      <w:pPr>
        <w:jc w:val="center"/>
        <w:pBdr>
          <w:bottom w:val="single" w:sz="12" w:color="0D3B66"/>
        </w:pBdr>
      </w:pPr>
    </w:p>
    <w:p/>
    <w:p/>
    <w:p/>
    <w:p>
      <w:pPr>
        <w:jc w:val="center"/>
      </w:pPr>
      <w:r>
        <w:rPr>
          <w:color w:val="596A7A"/>
          <w:sz w:val="24"/>
        </w:rPr>
        <w:t>项目标识：trop2_cis-dimer_inhibitor v1.0.1</w:t>
      </w:r>
    </w:p>
    <w:p>
      <w:pPr>
        <w:jc w:val="center"/>
      </w:pPr>
      <w:r>
        <w:rPr>
          <w:color w:val="596A7A"/>
          <w:sz w:val="24"/>
        </w:rPr>
        <w:t>技术基线：Python 3.11 · 确定性几何计算 + Boltz-2 实测复算</w:t>
      </w:r>
    </w:p>
    <w:p>
      <w:pPr>
        <w:jc w:val="center"/>
      </w:pPr>
      <w:r>
        <w:rPr>
          <w:color w:val="596A7A"/>
          <w:sz w:val="24"/>
        </w:rPr>
        <w:t>文档日期：2026 年 8 月 16 日</w:t>
      </w:r>
    </w:p>
    <w:p>
      <w:r>
        <w:br w:type="page"/>
      </w:r>
    </w:p>
    <w:p>
      <w:pPr>
        <w:pStyle w:val="Heading1"/>
      </w:pPr>
      <w:r>
        <w:t>一、流水线总览</w:t>
      </w:r>
    </w:p>
    <w:p>
      <w:pPr>
        <w:ind w:firstLine="482"/>
      </w:pPr>
      <w:r>
        <w:rPr>
          <w:b w:val="0"/>
        </w:rPr>
        <w:t>本平台将公开晶体结构转化为可实验验证的候选短名单，整体流程为一条从“输入”到“输出”的十阶段流水线（M00 编排 + M01–M10 计算），各阶段之间只通过 outputs/&lt;run_id&gt;/ 目录下的标准文件交换数据：</w:t>
      </w:r>
    </w:p>
    <w:p>
      <w:pPr>
        <w:spacing w:line="240" w:lineRule="auto"/>
        <w:ind w:left="283"/>
      </w:pPr>
      <w:r>
        <w:rPr>
          <w:rFonts w:ascii="Times New Roman" w:hAnsi="Times New Roman" w:eastAsia="宋体"/>
          <w:sz w:val="17"/>
        </w:rPr>
        <w:t>输入                       计算流水线（M00 编排）                              输出</w:t>
        <w:br/>
        <w:t>─────                     ──────────────────────────────                     ─────</w:t>
        <w:br/>
        <w:t>configs/trop2_v1.yaml ─┐                                                      results/results.csv</w:t>
        <w:br/>
        <w:t>configs/tools.yaml ────┤  M01 标准化 / 编号映射 / QC                           （标准候选清单）</w:t>
        <w:br/>
        <w:t>7E5N/7E5M/7PEE.cif ────┼→ M02 R87-T88 裂解态构建 + 构象集 + 拓扑审计           top_candidates/</w:t>
        <w:br/>
        <w:t>4MZV.cif (EpCAM) ──────┤  M03 T88 表位 / 热点 / 膜糖排斥掩膜                   report.html</w:t>
        <w:br/>
        <w:t>UniProt FASTA ─────────┘                                                      （淘汰原因+阈值+建议对照）</w:t>
        <w:br/>
        <w:t xml:space="preserve">                                 ↓ 表位热点</w:t>
        <w:br/>
        <w:t xml:space="preserve">                        M04 候选生成（RFdiffusion 适配器 / CPU 确定性回退 / 外部导入）</w:t>
        <w:br/>
        <w:t xml:space="preserve">                                 ↓ 骨架</w:t>
        <w:br/>
        <w:t xml:space="preserve">                        M05 序列设计（ProteinMPNN 适配器 / 两亲性回退）+ 单体折叠过滤</w:t>
        <w:br/>
        <w:t xml:space="preserve">                                 ↓ 通过折叠的序列</w:t>
        <w:br/>
        <w:t xml:space="preserve">                        M06 正状态：5 构象结合评估 + T88 末端接触（硬门槛）</w:t>
        <w:br/>
        <w:t xml:space="preserve">                           └─ [GPU 可用] top-K Boltz-2 独立实测复算，替换代理置信度</w:t>
        <w:br/>
        <w:t xml:space="preserve">                                 ↓ 仅正状态通过者（算力控制）</w:t>
        <w:br/>
        <w:t xml:space="preserve">              ┌──────────────────┼──────────────────┐</w:t>
        <w:br/>
        <w:t xml:space="preserve">        M07 负状态选择性    M08 cis/trans 机制    M09 可开发性</w:t>
        <w:br/>
        <w:t xml:space="preserve">        （完整 TROP2+EpCAM） （装配叠合/膜糖碰撞） （溶解/聚集/liability/MHC-II）</w:t>
        <w:br/>
        <w:t xml:space="preserve">              └──────────────────┼──────────────────┘</w:t>
        <w:br/>
        <w:t xml:space="preserve">                                 ↓</w:t>
        <w:br/>
        <w:t xml:space="preserve">                        M10 决策：硬门槛(终局) → Pareto 非支配排序</w:t>
        <w:br/>
        <w:t xml:space="preserve">                           → PRD 12.2 稳健选择性 → 家族多样性 → 报告 / 清单</w:t>
      </w:r>
    </w:p>
    <w:p>
      <w:r>
        <w:rPr>
          <w:b/>
        </w:rPr>
        <w:t>三条设计主线贯穿全程：</w:t>
      </w:r>
    </w:p>
    <w:p>
      <w:pPr>
        <w:pStyle w:val="ListBullet"/>
      </w:pPr>
      <w:r>
        <w:rPr>
          <w:b/>
        </w:rPr>
        <w:t>确定性：</w:t>
      </w:r>
      <w:r>
        <w:t>一切随机性由种子派生，同输入 + 同种子 ⇒ 同结果（AC-14 测试锚定）；</w:t>
      </w:r>
    </w:p>
    <w:p>
      <w:pPr>
        <w:pStyle w:val="ListBullet"/>
      </w:pPr>
      <w:r>
        <w:rPr>
          <w:b/>
        </w:rPr>
        <w:t>可审计：</w:t>
      </w:r>
      <w:r>
        <w:t>每个数字可回溯到输入哈希、工具版本、种子与命令；</w:t>
      </w:r>
    </w:p>
    <w:p>
      <w:pPr>
        <w:pStyle w:val="ListBullet"/>
      </w:pPr>
      <w:r>
        <w:rPr>
          <w:b/>
        </w:rPr>
        <w:t>诚实标注：</w:t>
      </w:r>
      <w:r>
        <w:t>每个置信度指标都带 metric_source（proxy / measured）标注，报告显著声明代理值需 GPU 复算后方可用于实验决策。</w:t>
      </w:r>
    </w:p>
    <w:p>
      <w:pPr>
        <w:pStyle w:val="Heading1"/>
      </w:pPr>
      <w:r>
        <w:t>二、启动层（M00：一切从一条命令开始）</w:t>
      </w:r>
    </w:p>
    <w:p>
      <w:pPr>
        <w:ind w:firstLine="482"/>
      </w:pPr>
      <w:r>
        <w:rPr>
          <w:b w:val="0"/>
        </w:rPr>
        <w:t>bash run.sh 触发 cli.py 解析参数并读入两个 YAML 配置（严格校验：未知字段直接报错，防止拼写错误静默失效）。build_context() 创建 outputs/run_&lt;时间戳&gt;/ 运行目录并落盘 resolved_config.yaml（配置快照，供复现）；build_manifest() 记录 git commit、Python 版本、全部输入文件的 SHA-256、工具版本与许可、随机种子。</w:t>
      </w:r>
    </w:p>
    <w:p>
      <w:pPr>
        <w:ind w:firstLine="482"/>
      </w:pPr>
      <w:r>
        <w:rPr>
          <w:b w:val="0"/>
        </w:rPr>
        <w:t>workflow/engine.py 是 DAG 执行器：按依赖排序执行各阶段，每阶段缓存键 = SHA-256(代码版本 + 阶段名 + 种子 + 输入内容 + 输出列表)。这正是断点恢复的原理——重跑时缓存键匹配且输出存在的阶段直接跳过（状态记为 cached），失败阶段重试，且永不覆盖已成功产物。</w:t>
      </w:r>
    </w:p>
    <w:p>
      <w:pPr>
        <w:pStyle w:val="Heading1"/>
      </w:pPr>
      <w:r>
        <w:t>三、靶标准备（M01–M03）</w:t>
      </w:r>
    </w:p>
    <w:p>
      <w:pPr>
        <w:pStyle w:val="Heading2"/>
      </w:pPr>
      <w:r>
        <w:t>M01 ingest.py：数据接入与编号映射</w:t>
      </w:r>
    </w:p>
    <w:p>
      <w:pPr>
        <w:ind w:firstLine="482"/>
      </w:pPr>
      <w:r>
        <w:rPr>
          <w:b w:val="0"/>
        </w:rPr>
        <w:t>读取晶体结构，抽取蛋白链，用 Needleman-Wunsch 全局比对建立 author ↔ label ↔ UniProt 三方编号映射；执行 QC（缺失残基 / 突变 / 非标准残基 / 重复编号）；并强制校验 R87、T88、C73、C108 四个关键残基在 UniProt 序列与结构中的身份一致——不一致直接报错，防止编号约定错位。</w:t>
      </w:r>
    </w:p>
    <w:p>
      <w:pPr>
        <w:pStyle w:val="Heading2"/>
      </w:pPr>
      <w:r>
        <w:t>M02 cleave.py：裂解态构建（核心化学拓扑模块）</w:t>
      </w:r>
    </w:p>
    <w:p>
      <w:pPr>
        <w:ind w:firstLine="482"/>
      </w:pPr>
      <w:r>
        <w:rPr>
          <w:b w:val="0"/>
        </w:rPr>
        <w:t>在 R87-T88 之间“剪断”肽键：输出双链结构（NFR 片段 + BODY 主体），R87 加 OXT 成为新 C 端（COO⁻），T88 成为游离 NH₃⁺ 新 N 端；C73-C108 二硫键原样保留，把两段锁在一起。随后做局部铰链采样：只转动裂口两侧各约 6 个残基（BODY 侧摆幅更大，模拟新末端柔性），生成至少 5 个互不相同的构象；每个构象通过极性感知冲突审计（2.0–2.8 Å 的 N/O 接触是氢键不算冲突；&lt; 1.9 Å 或非极性重叠才算）。铰链转轴避开 C73，二硫键在所有构象中数学上不可能被破坏。</w:t>
      </w:r>
    </w:p>
    <w:p>
      <w:pPr>
        <w:pStyle w:val="Heading2"/>
      </w:pPr>
      <w:r>
        <w:t>M03 patch.py：表位与热点</w:t>
      </w:r>
    </w:p>
    <w:p>
      <w:pPr>
        <w:ind w:firstLine="482"/>
      </w:pPr>
      <w:r>
        <w:rPr>
          <w:b w:val="0"/>
        </w:rPr>
        <w:t>以 T88 为中心取 10 Å 邻域，用 Shrake-Rupley 算法计算溶剂可及面积（SASA），按距离 × 暴露 × 构象一致性打分排序热点；建立两个排斥掩膜——膜平面（ECD 末端方向 + 8 Å 净空）与糖链球（N33 / N120 / N168 / N184 锚点各 12 Å）。</w:t>
      </w:r>
    </w:p>
    <w:p>
      <w:pPr>
        <w:pStyle w:val="Heading1"/>
      </w:pPr>
      <w:r>
        <w:t>四、候选生成与序列设计（M04–M05）</w:t>
      </w:r>
    </w:p>
    <w:p>
      <w:pPr>
        <w:pStyle w:val="Heading2"/>
      </w:pPr>
      <w:r>
        <w:t>M04 generate.py：候选来源（三条入口）</w:t>
      </w:r>
    </w:p>
    <w:p>
      <w:pPr>
        <w:pStyle w:val="ListBullet"/>
      </w:pPr>
      <w:r>
        <w:rPr>
          <w:b/>
        </w:rPr>
        <w:t xml:space="preserve">① </w:t>
      </w:r>
      <w:r>
        <w:t>RFdiffusion 适配器——GPU 可用时调用，产出真实扩散骨架；</w:t>
      </w:r>
    </w:p>
    <w:p>
      <w:pPr>
        <w:pStyle w:val="ListBullet"/>
      </w:pPr>
      <w:r>
        <w:rPr>
          <w:b/>
        </w:rPr>
        <w:t xml:space="preserve">② </w:t>
      </w:r>
      <w:r>
        <w:t>CPU 确定性回退生成器 scaffolds.py——理想螺旋束 + 几何弛豫消除键长与冲突 + 沿表位法向接近 + 向 T88 氮原子贪心贴靠；</w:t>
      </w:r>
    </w:p>
    <w:p>
      <w:pPr>
        <w:pStyle w:val="ListBullet"/>
      </w:pPr>
      <w:r>
        <w:rPr>
          <w:b/>
        </w:rPr>
        <w:t xml:space="preserve">③ </w:t>
      </w:r>
      <w:r>
        <w:t>外部导入——FASTA / PDB，含合法性校验（非法字符、超长、低复杂度拒绝并记录原因）。</w:t>
      </w:r>
    </w:p>
    <w:p>
      <w:pPr>
        <w:ind w:firstLine="482"/>
      </w:pPr>
      <w:r>
        <w:rPr>
          <w:b w:val="0"/>
        </w:rPr>
        <w:t>每个候选获得内容哈希稳定 ID（CAND-XXXXXXXX，永不因排序改变）。</w:t>
      </w:r>
    </w:p>
    <w:p>
      <w:pPr>
        <w:pStyle w:val="Heading2"/>
      </w:pPr>
      <w:r>
        <w:t>M05 design.py：序列设计与折叠过滤</w:t>
      </w:r>
    </w:p>
    <w:p>
      <w:pPr>
        <w:ind w:firstLine="482"/>
      </w:pPr>
      <w:r>
        <w:rPr>
          <w:b w:val="0"/>
        </w:rPr>
        <w:t>为骨架填充序列：ProteinMPNN 适配器，或径向分层两亲性设计（束内层疏水、外层极性带电，禁半胱氨酸）。随后进行单体折叠验证：GPU 可用时用 Boltz-2 实测（pLDDT + 预测结构相对设计骨架的 Kabsch RMSD），否则用几何代理；fold_plddt &lt; 70 的序列被过滤并记录 filtered_fold。</w:t>
      </w:r>
    </w:p>
    <w:p>
      <w:pPr>
        <w:pStyle w:val="Heading1"/>
      </w:pPr>
      <w:r>
        <w:t>五、正状态评估（M06：它真的结合裂解态吗）</w:t>
      </w:r>
    </w:p>
    <w:p>
      <w:pPr>
        <w:ind w:firstLine="482"/>
      </w:pPr>
      <w:r>
        <w:rPr>
          <w:b w:val="0"/>
        </w:rPr>
        <w:t>对每个幸存候选 × 5 个构象，从真实坐标计算：界面面积（三遍 SASA 差）、形状互补（Lawrence-Colman 式点遮挡）、氢键、埋藏未满足极性、冲突数，以及 T88 游离 α-氨基直接接触（4.5 Å 内存在 binder 原子即为真——独立硬门槛）。构象间用 BODY 链 Kabsch 叠合迁移姿势。</w:t>
      </w:r>
    </w:p>
    <w:p>
      <w:pPr>
        <w:ind w:firstLine="482"/>
      </w:pPr>
      <w:r>
        <w:rPr>
          <w:b w:val="0"/>
        </w:rPr>
        <w:t>两阶段算力控制（关键设计）：几何代理先全量筛选（秒级）；随后 Boltz-2 仅对 top-K 设计做独立复算——输入只有序列，预测出的复合物与设计姿势无关，ipTM、PAE、T88 接触全部从预测结构重新测量，替换代理值并标注 metric_source = measured。这一步消除自证偏差：实测显示回退候选的 ipTM 从代理的 0.6–0.8 跌至 0.10–0.15，诚实暴露其不可用。</w:t>
      </w:r>
    </w:p>
    <w:p>
      <w:pPr>
        <w:ind w:firstLine="482"/>
      </w:pPr>
      <w:r>
        <w:rPr>
          <w:b w:val="0"/>
        </w:rPr>
        <w:t>跨构象聚合采用 PRD 12.2：pass_rate（通过构象比例）+ robust_positive（ipTM 的 10% 分位，即最差状态）+ 不确定性（跨构象标准差）。</w:t>
      </w:r>
    </w:p>
    <w:p>
      <w:pPr>
        <w:pStyle w:val="Heading1"/>
      </w:pPr>
      <w:r>
        <w:t>六、选择性、机制与可开发性（M07–M09）</w:t>
      </w:r>
    </w:p>
    <w:p>
      <w:pPr>
        <w:pStyle w:val="ListBullet"/>
      </w:pPr>
      <w:r>
        <w:rPr>
          <w:b/>
        </w:rPr>
        <w:t>M07 负状态：</w:t>
      </w:r>
      <w:r>
        <w:t>把 binder 姿势经表位对齐叠合迁移到完整 TROP2（cis 与 trans）——完整肽键区域的原子会物理性挤占裂解表位，风险量化这个“挤不开”的程度；EpCAM 用表面 patch 交叉对接代理；最终取最危险负状态（候选安全性由其最差的脱靶决定）。</w:t>
      </w:r>
    </w:p>
    <w:p>
      <w:pPr>
        <w:pStyle w:val="ListBullet"/>
      </w:pPr>
      <w:r>
        <w:rPr>
          <w:b/>
        </w:rPr>
        <w:t>M08 机制：</w:t>
      </w:r>
      <w:r>
        <w:t>复合物叠合回 7E5N / 7E5M 二聚体：binder 盖住多少 cis 界面（阻断 = 好）、挡住多少 trans 界面（遮挡 = 坏）、是否撞击膜平面或糖链茎。</w:t>
      </w:r>
    </w:p>
    <w:p>
      <w:pPr>
        <w:pStyle w:val="ListBullet"/>
      </w:pPr>
      <w:r>
        <w:rPr>
          <w:b/>
        </w:rPr>
        <w:t>M09 可开发性：</w:t>
      </w:r>
      <w:r>
        <w:t>纯计算评估——MW / pI / 净电荷、CamSol 式溶解窗、A3D 式暴露加权聚集、序列 liability（脱酰胺 NG、氧化 MW、蛋白酶 KR…、未配对 Cys）与 MHC-II 代理。</w:t>
      </w:r>
    </w:p>
    <w:p>
      <w:pPr>
        <w:pStyle w:val="Heading1"/>
      </w:pPr>
      <w:r>
        <w:t>七、决策与输出（M10：三层漏斗）</w:t>
      </w:r>
    </w:p>
    <w:p>
      <w:pPr>
        <w:pStyle w:val="ListBullet"/>
      </w:pPr>
      <w:r>
        <w:rPr>
          <w:b/>
        </w:rPr>
        <w:t>① 硬门槛：</w:t>
      </w:r>
      <w:r>
        <w:t>从 models/hard_filter_v1_strict.yaml 加载 8 条终局性门槛，违反即淘汰，任何加权分不能救回（AC-12 测试锚定）；缺失指标标记 review，绝不静默置零。</w:t>
      </w:r>
    </w:p>
    <w:p>
      <w:pPr>
        <w:pStyle w:val="ListBullet"/>
      </w:pPr>
      <w:r>
        <w:rPr>
          <w:b/>
        </w:rPr>
        <w:t>② Pareto：</w:t>
      </w:r>
      <w:r>
        <w:t>非支配排序 + PRD 12.2 稳健选择性（robust_positive − worst_offtarget − λ·std）；加权展示分仅在同一层内辅助排序。</w:t>
      </w:r>
    </w:p>
    <w:p>
      <w:pPr>
        <w:pStyle w:val="ListBullet"/>
      </w:pPr>
      <w:r>
        <w:rPr>
          <w:b/>
        </w:rPr>
        <w:t>③ 家族多样性：</w:t>
      </w:r>
      <w:r>
        <w:t>70% 序列一致性聚类，每家族至多 3 个，输出 12–24 个短名单。</w:t>
      </w:r>
    </w:p>
    <w:p>
      <w:pPr>
        <w:ind w:firstLine="482"/>
      </w:pPr>
      <w:r>
        <w:rPr>
          <w:b w:val="0"/>
        </w:rPr>
        <w:t>产出 candidate_metrics.csv（原始值 + 归一化 + 层级 + 家族）、rejection_reasons.csv（每个淘汰者的可追溯原因）、report.html（含建议实验对照：WT / R87A-T88A / EpCAM），并由 predict.py 打包标准 results/results.csv。</w:t>
      </w:r>
    </w:p>
    <w:p>
      <w:pPr>
        <w:pStyle w:val="Heading1"/>
      </w:pPr>
      <w:r>
        <w:t>八、附录：阶段—模块—产物对照表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  <w:shd w:val="clear" w:fill="0D3B66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61"/>
            <w:shd w:val="clear" w:fill="0D3B66"/>
          </w:tcPr>
          <w:p>
            <w:r/>
            <w:r>
              <w:rPr>
                <w:b/>
                <w:color w:val="FFFFFF"/>
                <w:sz w:val="20"/>
              </w:rPr>
              <w:t>源码位置</w:t>
            </w:r>
          </w:p>
        </w:tc>
        <w:tc>
          <w:tcPr>
            <w:tcW w:type="dxa" w:w="4989"/>
            <w:shd w:val="clear" w:fill="0D3B66"/>
          </w:tcPr>
          <w:p>
            <w:r/>
            <w:r>
              <w:rPr>
                <w:b/>
                <w:color w:val="FFFFFF"/>
                <w:sz w:val="20"/>
              </w:rPr>
              <w:t>标准产物（outputs/&lt;run_id&gt;/）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workflow/engine.py + cli.py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run_manifest.json · task_status.csv · resolved_config.yaml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M01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target_builder/ingest.py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target_registry.json · residue_mapping.csv · input_qc.json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M02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target_builder/cleave.py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cleaved_states/ · intact_states/ · state_manifest.csv · topology_audit.json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M03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epitope/patch.py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epitope_patch.json · hotspots.txt · exclusion_mask.json · accessibility_metrics.csv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M04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generation/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candidates/raw/ · candidates.fasta · candidate_manifest.csv · generation_log.json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M05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sequence_design/design.py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candidates/designed.fasta · monomer_models/ · monomer_metrics.csv · boltz_mono/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M06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scoring/binding.py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positive_state_metrics.csv · complexes/positive/ · terminal_contact.json · boltz_complex/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M07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scoring/specificity.py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negative_state_metrics.csv · complexes/negative/ · offtarget_hits.csv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M08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scoring/mechanism.py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mechanism_metrics.csv · assembly_overlays/ · clash_report.json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M09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scoring/developability.py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developability_metrics.csv · liability_flags.csv · immunogenicity_hits.csv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M10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ranking/ + reporting/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candidate_metrics.csv · pareto_front.csv · rejection_reasons.csv · top_candidates/ · report.html</w:t>
            </w:r>
          </w:p>
        </w:tc>
      </w:tr>
    </w:tbl>
    <w:p>
      <w:pPr>
        <w:spacing w:after="40"/>
      </w:pPr>
    </w:p>
    <w:p>
      <w:pPr>
        <w:ind w:firstLine="482"/>
      </w:pPr>
      <w:r>
        <w:rPr>
          <w:b w:val="0"/>
          <w:color w:val="596A7A"/>
          <w:sz w:val="21"/>
        </w:rPr>
        <w:t>典型耗时：CPU 模式 24 候选全程约 6–8 分钟；开启 GPU 实测后每个复算设计约增加 2 分钟。分阶段调试可使用 trop2 run --stages prepare / generate / evaluate / rank。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A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D3B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D3B6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