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Hiragino Sans GB"/>
          <w:b/>
          <w:color w:val="000000"/>
          <w:sz w:val="44"/>
        </w:rPr>
        <w:t>CX 与 DX 首期项目工作说明书</w:t>
      </w:r>
    </w:p>
    <w:p>
      <w:pPr>
        <w:pStyle w:val="Subtitle"/>
      </w:pPr>
      <w:r>
        <w:rPr>
          <w:rFonts w:ascii="Arial" w:hAnsi="Arial" w:eastAsia="Hiragino Sans GB"/>
          <w:color w:val="000000"/>
          <w:sz w:val="26"/>
        </w:rPr>
        <w:t>版本一 两个项目同时推进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0"/>
        </w:rPr>
        <w:t>版本 v1.3    2026年10月22日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本版本约定 CX 与 DX 两个项目同时推进，分别形成工作线、阶段交付和验证结论。顾问兼职参与设计与技术评审，工程团队负责实施，两个项目可错开阶段和分批交付。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项目目标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CX：完成患者表示、证据与长期记忆、上下文使用、单一助理交互及受控更新的总体设计，形成最小技术闭环。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DX：支持临床 Agent／工作流优化和软件开发、bug 修复两类任务，共用实验管理与过程追溯底座，形成候选执行、评估比较和人工评审闭环。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推进与交付概览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160"/>
        <w:gridCol w:w="5184"/>
        <w:gridCol w:w="2822"/>
      </w:tblGrid>
      <w:tr>
        <w:trPr>
          <w:cantSplit/>
          <w:tblHeader/>
        </w:trPr>
        <w:tc>
          <w:tcPr>
            <w:tcW w:type="dxa" w:w="216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项目安排</w:t>
            </w:r>
          </w:p>
        </w:tc>
        <w:tc>
          <w:tcPr>
            <w:tcW w:type="dxa" w:w="5184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主要工程资源假设</w:t>
            </w:r>
          </w:p>
        </w:tc>
        <w:tc>
          <w:tcPr>
            <w:tcW w:type="dxa" w:w="282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整体交付窗口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两个项目同时推进</w:t>
            </w:r>
          </w:p>
        </w:tc>
        <w:tc>
          <w:tcPr>
            <w:tcW w:type="dxa" w:w="518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CX、DX 各约 2.0-2.5 FTE 工程容量</w:t>
            </w:r>
          </w:p>
        </w:tc>
        <w:tc>
          <w:tcPr>
            <w:tcW w:type="dxa" w:w="282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6-8 周，最迟第 8 周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按原阶段占比压缩：CX 争取第 5 周完成，DX 约第 6-7 周完成；第 8 周留给正常补测、集中评审与有限返修。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顾问投入已确认：两个项目合计每周约 8-12 小时。工程配置与响应条件是估算假设，需在启动前确认。周期覆盖首期框架设计、最小实现、约定层级验证与交接，采用相对周序，不设实际开工或截止日期。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统一责任分工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160"/>
        <w:gridCol w:w="8006"/>
      </w:tblGrid>
      <w:tr>
        <w:trPr>
          <w:cantSplit/>
          <w:tblHeader/>
        </w:trPr>
        <w:tc>
          <w:tcPr>
            <w:tcW w:type="dxa" w:w="216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角色</w:t>
            </w:r>
          </w:p>
        </w:tc>
        <w:tc>
          <w:tcPr>
            <w:tcW w:type="dxa" w:w="8006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责任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顾问</w:t>
            </w:r>
          </w:p>
        </w:tc>
        <w:tc>
          <w:tcPr>
            <w:tcW w:type="dxa" w:w="800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牵头架构、机制、流程和验证方案设计；提供实施指导、技术评审、结果审阅及设计交接。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工程团队</w:t>
            </w:r>
          </w:p>
        </w:tc>
        <w:tc>
          <w:tcPr>
            <w:tcW w:type="dxa" w:w="800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负责代码、配置、环境、适配、隔离及验证执行；定位修复问题，提交实现与验证成果。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项目方及指定责任人</w:t>
            </w:r>
          </w:p>
        </w:tc>
        <w:tc>
          <w:tcPr>
            <w:tcW w:type="dxa" w:w="800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提供资料，协调资源与授权；确认业务／专业要求和评价依据，组织阶段确认与交付接收。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一 CX 首期工作内容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项目名称：CX 患者数字孪生首期总体架构设计与最小闭环验证。顾问交付设计与技术审阅成果，工程团队负责实现并执行验证。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1 总体架构与首期范围设计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梳理现有系统资料，明确接入边界、依赖、设计假设与待确认事项，确定首期最小范围及扩展位置。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设计接入适配、患者模型、证据与长期记忆、上下文组装、助理运行时及受控更新的职责与读写关系；区分患者主体、助理身份和会话状态。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2 核心对象与管理机制设计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定义患者当前表示、长期记忆和原始证据的关系，明确已有依据、候选判断、未知与冲突信息的处理原则。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设计来源关联、版本管理、更新提交、信息替代及失效机制；明确主体隔离、访问权限、过程记录和更新结果确认要求。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3 关键流程与接口约定设计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设计交互读取、信息更新、纠错失效和异常追溯四条核心流程，明确来源登记、规则校验、版本发布和后续内容刷新。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明确模块间接口、结果状态及异常分支，覆盖读取、模型调用和更新失败，以及重复提交处理；形成预期行为与验证记录要求。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4 工程实施指导与技术评审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说明架构、机制和接口，评审工程方案，指导处理架构、接口、运行配置及范围变化。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根据评审和验证修订设计，记录关键决策、问题结论及遗留事项。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5 最小闭环验证与交接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定义场景，指导使用抽象主体、模拟事件和接口桩验证；审阅跨会话延续、上下文使用、更新纠错、主体隔离及异常处理结果。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完成设计修订、评审意见处理和方案讲解，整理已验证与未验证内容、已知限制及后续依赖。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首期边界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采用显式患者表示、基础长期记忆、单一助理和可追溯更新。患者专属训练、复杂画像推断、知识图谱、多 Agent、预测推演、主动业务执行、外部系统自动回写及生产高可用后置。暂不细化患者临床字段、具体业务功能或专用算法。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一·附图 CX 模块关系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6437376" cy="32991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x-phase1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3299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0"/>
        </w:rPr>
        <w:t>图 1  CX 首期概念架构。箭头表示主要信息流与受控更新关系，逻辑模块不等于独立部署单元。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架构阅读要点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助理运行时负责当次交互；患者模型提供当前表示，长期记忆保留可追溯的经历与来源。三者通过按任务、权限和版本组装的上下文连接。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交互输入与系统回执先成为证据或事件；需要长期保留的信息经过校验、冲突处理和失效管理后，再更新长期记忆与患者模型。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CX 既有前后端、身份权限和系统接口的实际形态需在架构阶段核对。图中不预设患者字段、具体业务功能或生产部署拓扑。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二 DX 首期工作内容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项目名称：DX 共用持续改进框架首期架构设计与最小闭环验证。临床工作流与软件开发共用控制流程，分别适配执行、评价和发布要求。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1 总体架构与首期范围设计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梳理系统、模型服务、工作流资产、代码仓库及评估条件，明确首期范围、接入边界、假设、依赖与扩展位置。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设计任务基线、候选生成、隔离执行、轨迹记录、评估选择、评审发布和回退；区分业务资产、改进执行器、探索策略与评估器。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2 核心对象与管理机制设计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定义任务、基线、候选、执行、评估、决策和发布资产的关系；明确可修改范围、执行权限、实验预算、停止条件及受保护的评价依据。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设计假设、历史轨迹、经验结论与可复用机制的记录、审阅和版本管理；区分执行成功、质量合格、搜索采纳与正式发布。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3 关键流程与接口约定设计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设计问题登记、基线确认、候选提出、隔离执行、评估比较及采纳或保留原版本；明确两类任务适配、测量有效性、回归和资源记录。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设计人工评审、组合依赖检查、发布回退及异常追溯，覆盖失败、有限重试、中断恢复和重复提交；定义回放记录结构与接口原则。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4 工程实施指导与技术评审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说明设计，评审工程实现方案，指导处理隔离、版本关联、评估有效性及流程一致性问题。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根据工程验证与评审修订设计，记录架构、接口和范围变化的处理结论。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5 最小闭环验证与交接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定义两类任务的最小代表路径，指导用抽象任务、模拟资产或具备条件的实际任务验证；审阅候选阻断、无效评估、保留基线及恢复等结果。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审阅发布与回退核心状态，区分框架、任务改进、机制泛化及临床效果结论，完成材料修订、讲解与交接。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首期边界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采用固定且受限的探索策略、实际执行与评估比较、人工评审和版本追溯。历史回放本期完成记录及接口原则；有限实际回放是另行确认的扩展项。自动策略优化、执行器自修改、权重训练、无人评审发布、大规模跨院部署及长期运维后置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二·附图 DX 共用改进底座</w:t>
      </w:r>
    </w:p>
    <w:p>
      <w:pPr>
        <w:spacing w:line="240" w:lineRule="auto" w:after="160"/>
        <w:jc w:val="center"/>
      </w:pPr>
      <w:r>
        <w:drawing>
          <wp:inline xmlns:a="http://schemas.openxmlformats.org/drawingml/2006/main" xmlns:pic="http://schemas.openxmlformats.org/drawingml/2006/picture">
            <wp:extent cx="6437376" cy="32991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x-phase1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3299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0"/>
        </w:rPr>
        <w:t>图 2  DX 首期概念架构。两类任务接入同一受控实验流程，各自保留执行与评价适配。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架构阅读要点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任务与基线固定当轮范围、预算、修改权限和评价契约；候选在隔离环境中执行，再按有效性、回归与阻断条件比较。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实验轨迹记录候选、执行、评价和决策。搜索采纳与正式发布分开，人工评审可以拒绝候选并保留原版本。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首期使用固定受限的探索策略；历史回放仅设计记录和接口原则，实际回放及自动策略优化按后续条件另行确认。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三 交付物与阶段完成依据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每个项目分别形成以下四类顾问牵头交付内容，两项目合计两套。可合并为统一文档包，但保留项目名称、版本、完成状态与对应证据。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952"/>
        <w:gridCol w:w="7214"/>
      </w:tblGrid>
      <w:tr>
        <w:trPr>
          <w:cantSplit/>
          <w:tblHeader/>
        </w:trPr>
        <w:tc>
          <w:tcPr>
            <w:tcW w:type="dxa" w:w="295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顾问牵头交付物</w:t>
            </w:r>
          </w:p>
        </w:tc>
        <w:tc>
          <w:tcPr>
            <w:tcW w:type="dxa" w:w="7214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统一内容要求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首期总体架构与范围说明</w:t>
            </w:r>
          </w:p>
        </w:tc>
        <w:tc>
          <w:tcPr>
            <w:tcW w:type="dxa" w:w="721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架构图、模块职责、接入边界、首期范围、设计假设、依赖及待确认事项。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核心机制 流程与接口约定</w:t>
            </w:r>
          </w:p>
        </w:tc>
        <w:tc>
          <w:tcPr>
            <w:tcW w:type="dxa" w:w="721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核心对象、管理机制、关键流程、接口原则、权限及版本约定；各自项目的具体机制单独说明。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框架验证方案与技术评审记录</w:t>
            </w:r>
          </w:p>
        </w:tc>
        <w:tc>
          <w:tcPr>
            <w:tcW w:type="dxa" w:w="721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验证路径、场景和预期行为，工程方案评审、过程及结果审阅结论、问题处理记录。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首期总结与交接说明</w:t>
            </w:r>
          </w:p>
        </w:tc>
        <w:tc>
          <w:tcPr>
            <w:tcW w:type="dxa" w:w="721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最终设计结论、已验证与未验证内容、已知限制、遗留事项及后续建议。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工程团队配套交付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按项目分别提交最小框架实现与验证包，包含以下内容：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约定范围内的源代码、配置模板及运行说明。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最小接入或任务适配，抽象／模拟输入、接口桩与验证用例。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核心流程、版本关联、评估与异常处理记录及验证结果。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问题修复、必要恢复或回退说明，以及已知工程限制。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统一阶段与完成依据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477"/>
        <w:gridCol w:w="7690"/>
      </w:tblGrid>
      <w:tr>
        <w:trPr>
          <w:cantSplit/>
          <w:tblHeader/>
        </w:trPr>
        <w:tc>
          <w:tcPr>
            <w:tcW w:type="dxa" w:w="2477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769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主要成果与完成依据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阶段一 架构与范围</w:t>
            </w:r>
          </w:p>
        </w:tc>
        <w:tc>
          <w:tcPr>
            <w:tcW w:type="dxa" w:w="769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架构和范围说明形成并评审；首期边界、关键依赖及待确认事项明确。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阶段二 机制与验证准备</w:t>
            </w:r>
          </w:p>
        </w:tc>
        <w:tc>
          <w:tcPr>
            <w:tcW w:type="dxa" w:w="769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机制、流程、接口与验证方案形成；最小工程范围、环境和评价依据明确，具备对应实施条件。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阶段三 实施与闭环验证</w:t>
            </w:r>
          </w:p>
        </w:tc>
        <w:tc>
          <w:tcPr>
            <w:tcW w:type="dxa" w:w="769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工程包、评审与结果记录形成；核心阻断问题处理完成，其他问题有记录与处理安排。</w:t>
            </w:r>
          </w:p>
        </w:tc>
      </w:tr>
      <w:tr>
        <w:trPr>
          <w:cantSplit/>
        </w:trPr>
        <w:tc>
          <w:tcPr>
            <w:tcW w:type="dxa" w:w="2477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阶段四 总结与交接</w:t>
            </w:r>
          </w:p>
        </w:tc>
        <w:tc>
          <w:tcPr>
            <w:tcW w:type="dxa" w:w="769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顾问材料与工程包整理完成；已验证范围、限制、遗留事项和后续责任明确，完成交接确认。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顾问技术审阅与项目方交付接收分别记录。共享模板和设计原则可以联合讨论，两个项目的资产、权限、实施依赖及验证结论独立保留；系统集成另列后续范围。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四 资源假设与估算基础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顾问合计每周 8-12 小时已确认；下列工程配置、工作量和响应时限是规划假设，需在启动前核对。主要工程师应能独立承担相关框架工程，并具有代码和环境操作权限。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304"/>
        <w:gridCol w:w="7862"/>
      </w:tblGrid>
      <w:tr>
        <w:trPr>
          <w:cantSplit/>
          <w:tblHeader/>
        </w:trPr>
        <w:tc>
          <w:tcPr>
            <w:tcW w:type="dxa" w:w="2304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资源</w:t>
            </w:r>
          </w:p>
        </w:tc>
        <w:tc>
          <w:tcPr>
            <w:tcW w:type="dxa" w:w="786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本版本配置与责任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主要工程容量</w:t>
            </w:r>
          </w:p>
        </w:tc>
        <w:tc>
          <w:tcPr>
            <w:tcW w:type="dxa" w:w="786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CX、DX 各约 2.0-2.5 FTE，分别组成稳定实施小组；关键模块明确负责人。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测试与运维支持</w:t>
            </w:r>
          </w:p>
        </w:tc>
        <w:tc>
          <w:tcPr>
            <w:tcW w:type="dxa" w:w="786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两项目共享合计约 0.8-1.0 FTE，验证阶段提前预留。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技术与业务支持</w:t>
            </w:r>
          </w:p>
        </w:tc>
        <w:tc>
          <w:tcPr>
            <w:tcW w:type="dxa" w:w="786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两项目分别明确接口责任人和业务／专业评价责任人。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项目负责人</w:t>
            </w:r>
          </w:p>
        </w:tc>
        <w:tc>
          <w:tcPr>
            <w:tcW w:type="dxa" w:w="786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协调两条工作线、范围、资源、授权和分别交付接收。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顾问参与方式与工作量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前 5 周参考分配为 CX 约 5-6 小时、DX 约 3-5 小时、协调约 1 小时；后期集中投入 DX 验证与交接。每周合计仍控制在 8-12 小时内，会议约 1.5-2.5 小时／周并计入投入。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6480"/>
        <w:gridCol w:w="3686"/>
      </w:tblGrid>
      <w:tr>
        <w:trPr>
          <w:cantSplit/>
          <w:tblHeader/>
        </w:trPr>
        <w:tc>
          <w:tcPr>
            <w:tcW w:type="dxa" w:w="648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内容</w:t>
            </w:r>
          </w:p>
        </w:tc>
        <w:tc>
          <w:tcPr>
            <w:tcW w:type="dxa" w:w="3686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顾问实际工作量初估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设计 指导 评审与交接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26-34 小时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设计 指导 评审与交接</w:t>
            </w:r>
          </w:p>
        </w:tc>
        <w:tc>
          <w:tcPr>
            <w:tcW w:type="dxa" w:w="36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36-48 小时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协调与版本对齐</w:t>
            </w:r>
          </w:p>
        </w:tc>
        <w:tc>
          <w:tcPr>
            <w:tcW w:type="dxa" w:w="36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10-14 小时</w:t>
            </w:r>
          </w:p>
        </w:tc>
      </w:tr>
      <w:tr>
        <w:trPr>
          <w:cantSplit/>
        </w:trPr>
        <w:tc>
          <w:tcPr>
            <w:tcW w:type="dxa" w:w="648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36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约 72-96 小时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1"/>
        </w:rPr>
        <w:t>顾问工作量按共用模板、前置资料和每阶段一次汇总评审重估为 72-96 小时，未减少四类交付。8 周内平均需约 9-12 小时／周；若按 6-7 周完成，需落在工作量低端且接近每周 12 小时。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工程与评审假设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主要实现与自测仍暂估 CX 约 5-7 工程人周、DX 约 7-9 工程人周；压缩的是历时，工程工作量未按比例减少。1.0 FTE 按每周约 40 小时排期。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普通答疑需约 1 个工作日响应，阶段材料约 2 个工作日内汇总意见；每阶段一轮集中评审及有限修订。方向性变更或多轮重做重新估算。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工程团队按固定窗口提交可运行版本、差异说明与验证证据，顾问集中审阅。工程编码、部署、自测和日常排查由工程团队负责。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五 版本一 两个项目并行推进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8 周内交付按原阶段占比压缩：原 12-16 周整体窗口折至约 6-8 周。CX 与 DX 从第 1 周并行启动，关键设计审阅在周内错峰；CX 先交付，DX 随后交付。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160"/>
        <w:gridCol w:w="1800"/>
        <w:gridCol w:w="1800"/>
        <w:gridCol w:w="4406"/>
      </w:tblGrid>
      <w:tr>
        <w:trPr>
          <w:cantSplit/>
          <w:tblHeader/>
        </w:trPr>
        <w:tc>
          <w:tcPr>
            <w:tcW w:type="dxa" w:w="216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环节</w:t>
            </w:r>
          </w:p>
        </w:tc>
        <w:tc>
          <w:tcPr>
            <w:tcW w:type="dxa" w:w="180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CX 周序</w:t>
            </w:r>
          </w:p>
        </w:tc>
        <w:tc>
          <w:tcPr>
            <w:tcW w:type="dxa" w:w="1800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DX 周序</w:t>
            </w:r>
          </w:p>
        </w:tc>
        <w:tc>
          <w:tcPr>
            <w:tcW w:type="dxa" w:w="4406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主要阶段交付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架构与范围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 周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 周</w:t>
            </w:r>
          </w:p>
        </w:tc>
        <w:tc>
          <w:tcPr>
            <w:tcW w:type="dxa" w:w="440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各自架构与范围说明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机制与验证准备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1-2 周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1-3 周</w:t>
            </w:r>
          </w:p>
        </w:tc>
        <w:tc>
          <w:tcPr>
            <w:tcW w:type="dxa" w:w="440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机制、接口与验证方案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工程实现与自测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2-4 周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2-6 周</w:t>
            </w:r>
          </w:p>
        </w:tc>
        <w:tc>
          <w:tcPr>
            <w:tcW w:type="dxa" w:w="440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最小实现、适配和自测记录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闭环验证与修订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4-5 周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5-7 周</w:t>
            </w:r>
          </w:p>
        </w:tc>
        <w:tc>
          <w:tcPr>
            <w:tcW w:type="dxa" w:w="440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验证包、评审和问题处理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总结与交接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5 周</w:t>
            </w:r>
          </w:p>
        </w:tc>
        <w:tc>
          <w:tcPr>
            <w:tcW w:type="dxa" w:w="1800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第 6-7 周</w:t>
            </w:r>
          </w:p>
        </w:tc>
        <w:tc>
          <w:tcPr>
            <w:tcW w:type="dxa" w:w="440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各自顾问材料与工程包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交付节奏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CX 参考第 5 周完成；DX 参考第 6-7 周完成。各项目达到条件后分别确认，整体最迟在第 8 周结束。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第 8 周用于正常补充验证、集中评审和有限返修，已计入窗口。第 6 周整体完成仅对应工作量低端、资料与环境提前齐备的情形。</w:t>
      </w:r>
    </w:p>
    <w:p>
      <w:pPr>
        <w:pStyle w:val="ListBullet"/>
        <w:widowControl/>
      </w:pPr>
      <w:r>
        <w:rPr>
          <w:rFonts w:ascii="Arial" w:hAnsi="Arial" w:eastAsia="Hiragino Sans GB"/>
          <w:color w:val="000000"/>
          <w:sz w:val="22"/>
        </w:rPr>
        <w:t>设计、工程和验证在各自已确认范围内交错开展；工程实现与自测工作量仍为 CX 约 5-7、DX 约 7-9 工程人周。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8 周目标的资源条件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CX 和 DX 各约 2.0-2.5 FTE 工程容量，测试与运维共享约 0.8-1.0 FTE。若只有原估算的每项目 1.0 FTE，不能沿用此周序；应增配实施人员或重新估算。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顾问仍合计每周 8-12 小时，采用共用模板、前置资料和固定评审窗口。关键路径暂看 DX 两类任务适配、环境隔离与完整验证；架构评审后按实际条件复核。</w:t>
      </w:r>
    </w:p>
    <w:p>
      <w:r>
        <w:br w:type="page"/>
      </w:r>
    </w:p>
    <w:p>
      <w:pPr>
        <w:pStyle w:val="Heading1"/>
      </w:pPr>
      <w:r>
        <w:rPr>
          <w:rFonts w:ascii="Arial" w:hAnsi="Arial" w:eastAsia="Hiragino Sans GB"/>
          <w:b/>
          <w:color w:val="000000"/>
          <w:sz w:val="32"/>
        </w:rPr>
        <w:t>六 启动依赖与交付边界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第 1 周从约定启动条件具备并召开启动会时计算。排入实际日历前，再核对节假日、人员休假和既有任务。以下条件按对应阶段准备，不把完整患者数据追加为框架级启动前提。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left w:w="100" w:type="dxa"/>
          <w:bottom w:w="90" w:type="dxa"/>
          <w:right w:w="100" w:type="dxa"/>
        </w:tblCellMar>
      </w:tblPr>
      <w:tblGrid>
        <w:gridCol w:w="2448"/>
        <w:gridCol w:w="2232"/>
        <w:gridCol w:w="5486"/>
      </w:tblGrid>
      <w:tr>
        <w:trPr>
          <w:cantSplit/>
          <w:tblHeader/>
        </w:trPr>
        <w:tc>
          <w:tcPr>
            <w:tcW w:type="dxa" w:w="2448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依赖条件</w:t>
            </w:r>
          </w:p>
        </w:tc>
        <w:tc>
          <w:tcPr>
            <w:tcW w:type="dxa" w:w="2232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具备时点</w:t>
            </w:r>
          </w:p>
        </w:tc>
        <w:tc>
          <w:tcPr>
            <w:tcW w:type="dxa" w:w="5486"/>
            <w:vAlign w:val="center"/>
            <w:shd w:fill="203C55"/>
          </w:tcPr>
          <w:p>
            <w:pPr>
              <w:keepNext/>
              <w:spacing w:line="290" w:lineRule="exact" w:after="0" w:before="0"/>
              <w:jc w:val="center"/>
            </w:pPr>
            <w:r>
              <w:rPr>
                <w:rFonts w:ascii="Arial" w:hAnsi="Arial" w:eastAsia="Hiragino Sans GB"/>
                <w:b/>
                <w:color w:val="FFFFFF"/>
                <w:sz w:val="21"/>
              </w:rPr>
              <w:t>责任与处理原则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范围 负责人和实际投入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启动前</w:t>
            </w:r>
          </w:p>
        </w:tc>
        <w:tc>
          <w:tcPr>
            <w:tcW w:type="dxa" w:w="54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项目方锁定顾问容量、主要工程资源和接口人；未锁定时只做准备。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系统资料及权限边界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架构阶段</w:t>
            </w:r>
          </w:p>
        </w:tc>
        <w:tc>
          <w:tcPr>
            <w:tcW w:type="dxa" w:w="54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项目方与工程团队提供架构、资产、接口说明；关键缺口先处理，其他缺口记录为假设。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模型与执行环境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对应实施前</w:t>
            </w:r>
          </w:p>
        </w:tc>
        <w:tc>
          <w:tcPr>
            <w:tcW w:type="dxa" w:w="54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工程团队与项目方落实模型调用、存储、测试和隔离；采购、网络与审批等待单列。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验证输入与更新约定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CX 验证准备完成前</w:t>
            </w:r>
          </w:p>
        </w:tc>
        <w:tc>
          <w:tcPr>
            <w:tcW w:type="dxa" w:w="54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准备抽象主体、模拟事件和接口桩，明确来源、读取与更新要求。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代表路径与评价依据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DX 验证准备完成前</w:t>
            </w:r>
          </w:p>
        </w:tc>
        <w:tc>
          <w:tcPr>
            <w:tcW w:type="dxa" w:w="54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明确两类任务、合格／不合格样例、受保护评价与测试入口。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可运行版本与证据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每次工程评审前</w:t>
            </w:r>
          </w:p>
        </w:tc>
        <w:tc>
          <w:tcPr>
            <w:tcW w:type="dxa" w:w="5486"/>
            <w:vAlign w:val="center"/>
            <w:shd w:fill="F2F6FA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工程团队提供版本、差异、过程记录和复现说明；未齐时重排受影响评审。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评审与交付接收</w:t>
            </w:r>
          </w:p>
        </w:tc>
        <w:tc>
          <w:tcPr>
            <w:tcW w:type="dxa" w:w="2232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阶段评审和交接</w:t>
            </w:r>
          </w:p>
        </w:tc>
        <w:tc>
          <w:tcPr>
            <w:tcW w:type="dxa" w:w="5486"/>
            <w:vAlign w:val="center"/>
            <w:shd w:fill="FFFFFF"/>
          </w:tcPr>
          <w:p>
            <w:pPr>
              <w:keepNext w:val="0"/>
              <w:spacing w:line="290" w:lineRule="exact" w:after="0" w:before="0"/>
              <w:jc w:val="left"/>
            </w:pPr>
            <w:r>
              <w:rPr>
                <w:rFonts w:ascii="Arial" w:hAnsi="Arial" w:eastAsia="Hiragino Sans GB"/>
                <w:b w:val="0"/>
                <w:color w:val="000000"/>
                <w:sz w:val="21"/>
              </w:rPr>
              <w:t>项目方汇总业务／专业意见，按确认的响应节奏组织接收并明确后续责任。</w:t>
            </w:r>
          </w:p>
        </w:tc>
      </w:tr>
    </w:tbl>
    <w:p>
      <w:pPr>
        <w:spacing w:after="20" w:before="0" w:line="240" w:lineRule="auto"/>
      </w:pPr>
      <w:r>
        <w:rPr>
          <w:rFonts w:ascii="Arial" w:hAnsi="Arial" w:eastAsia="Hiragino Sans GB"/>
          <w:color w:val="000000"/>
          <w:sz w:val="4"/>
        </w:rPr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范围与验证结论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两项目首期均聚焦框架与流程。真实数据适配、医院系统实际联调、生产上线和临床效果评价在条件具备后另行明确；DX 的任务收益与机制泛化也需独立证据。模拟验证按实际覆盖层级报告。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DX 历史回放本期完成记录与接口原则，有限实际回放不纳入默认最小工程交付。框架验证允许保留原版本，不要求每轮都产生更优候选。</w:t>
      </w:r>
    </w:p>
    <w:p>
      <w:pPr>
        <w:pStyle w:val="Heading2"/>
      </w:pPr>
      <w:r>
        <w:rPr>
          <w:rFonts w:ascii="Arial" w:hAnsi="Arial" w:eastAsia="Hiragino Sans GB"/>
          <w:b/>
          <w:color w:val="000000"/>
          <w:sz w:val="23"/>
        </w:rPr>
        <w:t>进度复核与变更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启动前、架构评审后及进入工程验证前复核资源与依赖。投入下降、重大范围修改、新增真实接口、实际回放或生产要求时，单独明确新增工作与评价条件，再调整排期。</w:t>
      </w:r>
    </w:p>
    <w:p>
      <w:pPr>
        <w:widowControl/>
      </w:pPr>
      <w:r>
        <w:rPr>
          <w:rFonts w:ascii="Arial" w:hAnsi="Arial" w:eastAsia="Hiragino Sans GB"/>
          <w:b w:val="0"/>
          <w:color w:val="000000"/>
          <w:sz w:val="22"/>
        </w:rPr>
        <w:t>周期窗口包含正常评审与有限返修；关键路径上的重大外部等待另计，重叠等待只计净影响。尚未具备的条件和延期原因保留记录，不通过降低交付要求消化。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Hiragino Sans GB"/>
        <w:color w:val="555555"/>
        <w:sz w:val="18"/>
      </w:rPr>
      <w:t xml:space="preserve">第 </w:t>
    </w:r>
    <w:r>
      <w:rPr>
        <w:rFonts w:ascii="Arial" w:hAnsi="Arial" w:eastAsia="Hiragino Sans GB"/>
        <w:color w:val="555555"/>
        <w:sz w:val="18"/>
      </w:rPr>
    </w:r>
    <w:fldSimple w:instr="PAGE">
      <w:r>
        <w:t>1</w:t>
      </w:r>
    </w:fldSimple>
    <w:r>
      <w:rPr>
        <w:rFonts w:ascii="Arial" w:hAnsi="Arial" w:eastAsia="Hiragino Sans GB"/>
        <w:color w:val="555555"/>
        <w:sz w:val="18"/>
      </w:rPr>
      <w:t xml:space="preserve"> 页 / 共 </w:t>
    </w:r>
    <w:r>
      <w:rPr>
        <w:rFonts w:ascii="Arial" w:hAnsi="Arial" w:eastAsia="Hiragino Sans GB"/>
        <w:color w:val="555555"/>
        <w:sz w:val="18"/>
      </w:rPr>
    </w:r>
    <w:fldSimple w:instr="NUMPAGES">
      <w:r>
        <w:t>1</w:t>
      </w:r>
    </w:fldSimple>
    <w:r>
      <w:rPr>
        <w:rFonts w:ascii="Arial" w:hAnsi="Arial" w:eastAsia="Hiragino Sans GB"/>
        <w:color w:val="55555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0" w:lineRule="exact"/>
      <w:snapToGrid w:val="0"/>
    </w:pPr>
    <w:rPr>
      <w:rFonts w:ascii="Arial" w:hAnsi="Arial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460" w:lineRule="exact"/>
      <w:outlineLvl w:val="0"/>
      <w:snapToGrid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40" w:lineRule="exact"/>
      <w:outlineLvl w:val="1"/>
      <w:snapToGrid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20" w:lineRule="exact"/>
      <w:outlineLvl w:val="2"/>
      <w:snapToGrid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600" w:lineRule="exact"/>
      <w:contextualSpacing/>
      <w:snapToGrid w:val="0"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400" w:lineRule="exact"/>
      <w:snapToGrid w:val="0"/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0" w:lineRule="exact"/>
      <w:ind w:left="245" w:hanging="173"/>
      <w:contextualSpacing/>
      <w:snapToGrid w:val="0"/>
    </w:pPr>
    <w:rPr>
      <w:rFonts w:ascii="Arial" w:hAnsi="Arial" w:eastAsia="Hiragino Sans GB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CX 与 DX 首期项目工作说明书 版本一 两个项目同时推进</dc:title>
  <dc:subject>工作内容 交付物 分工 阶段节奏 资源与依赖</dc:subject>
  <dc:creator/>
  <cp:keywords>CX DX SOW</cp:keywords>
  <dc:description/>
  <cp:lastModifiedBy/>
  <cp:revision>1</cp:revision>
  <dcterms:created xsi:type="dcterms:W3CDTF">2026-10-22T00:00:00Z</dcterms:created>
  <dcterms:modified xsi:type="dcterms:W3CDTF">2026-10-22T00:00:00Z</dcterms:modified>
  <cp:category/>
</cp:coreProperties>
</file>