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  <w:b/>
          <w:color w:val="000000"/>
          <w:sz w:val="44"/>
        </w:rPr>
        <w:t>CX 与 DX 首期项目工作说明书</w:t>
      </w:r>
    </w:p>
    <w:p>
      <w:pPr>
        <w:pStyle w:val="Subtitle"/>
      </w:pPr>
      <w:r>
        <w:rPr>
          <w:rFonts w:ascii="Arial" w:hAnsi="Arial" w:eastAsia="Hiragino Sans GB"/>
          <w:color w:val="000000"/>
          <w:sz w:val="26"/>
        </w:rPr>
        <w:t>工作范围 交付分工 推进节奏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0"/>
        </w:rPr>
        <w:t>版本 v1.0    2026年10月21日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本说明书统一 CX 患者数字孪生与 DX 共用持续改进框架的首期工作内容、交付物和责任分工，并比较并行与顺序推进的阶段节奏。两种方案采用相同交付范围，费用另行讨论。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项目目标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CX：完成患者表示、证据与长期记忆、上下文使用、单一助理交互及受控更新的总体设计，形成最小技术闭环。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DX：支持临床 Agent／工作流优化和软件开发、bug 修复两类任务，共用实验管理与过程追溯底座，形成候选执行、评估比较和人工评审闭环。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推进方案概览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656"/>
        <w:gridCol w:w="5688"/>
        <w:gridCol w:w="2822"/>
      </w:tblGrid>
      <w:tr>
        <w:trPr>
          <w:cantSplit/>
          <w:tblHeader/>
        </w:trPr>
        <w:tc>
          <w:tcPr>
            <w:tcW w:type="dxa" w:w="165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方案</w:t>
            </w:r>
          </w:p>
        </w:tc>
        <w:tc>
          <w:tcPr>
            <w:tcW w:type="dxa" w:w="5688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主要工程资源假设</w:t>
            </w:r>
          </w:p>
        </w:tc>
        <w:tc>
          <w:tcPr>
            <w:tcW w:type="dxa" w:w="282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整体交付窗口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并行推进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CX、DX 各一名主要工程师稳定全职投入</w:t>
            </w:r>
          </w:p>
        </w:tc>
        <w:tc>
          <w:tcPr>
            <w:tcW w:type="dxa" w:w="282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12-16 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顺序推进</w:t>
            </w:r>
          </w:p>
        </w:tc>
        <w:tc>
          <w:tcPr>
            <w:tcW w:type="dxa" w:w="568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一名主要工程师全职依次投入两个项目</w:t>
            </w:r>
          </w:p>
        </w:tc>
        <w:tc>
          <w:tcPr>
            <w:tcW w:type="dxa" w:w="282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17-22 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一名工程师同时启动</w:t>
            </w:r>
          </w:p>
        </w:tc>
        <w:tc>
          <w:tcPr>
            <w:tcW w:type="dxa" w:w="568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总工程容量仍为一人，在两项目间分配</w:t>
            </w:r>
          </w:p>
        </w:tc>
        <w:tc>
          <w:tcPr>
            <w:tcW w:type="dxa" w:w="282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暂按接近 17-22 周复核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顾问投入已确认：两个项目合计每周约 8-12 小时。工程配置与响应条件是估算假设，需在启动前确认。周期覆盖首期框架设计、最小实现、约定层级验证与交接，采用相对周序，不设实际开工或截止日期。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8006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00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牵头架构、机制、流程和验证方案设计；提供实施指导、技术评审、结果审阅及设计交接。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</w:t>
            </w:r>
          </w:p>
        </w:tc>
        <w:tc>
          <w:tcPr>
            <w:tcW w:type="dxa" w:w="800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负责代码、配置、环境、适配、隔离及验证执行；定位修复问题，提交实现与验证成果。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项目方及指定责任人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提供资料，协调资源与授权；确认业务／专业要求和评价依据，组织阶段确认与交付接收。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一 CX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项目名称：CX 患者数字孪生首期总体架构设计与最小闭环验证。顾问交付设计与技术审阅成果，工程团队负责实现并执行验证。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梳理现有系统资料，明确接入边界、依赖、设计假设与待确认事项，确定首期最小范围及扩展位置。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设计接入适配、患者模型、证据与长期记忆、上下文组装、助理运行时及受控更新的职责与读写关系；区分患者主体、助理身份和会话状态。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定义患者当前表示、长期记忆和原始证据的关系，明确已有依据、候选判断、未知与冲突信息的处理原则。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设计来源关联、版本管理、更新提交、信息替代及失效机制；明确主体隔离、访问权限、过程记录和更新结果确认要求。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设计交互读取、信息更新、纠错失效和异常追溯四条核心流程，明确来源登记、规则校验、版本发布和后续内容刷新。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明确模块间接口、结果状态及异常分支，覆盖读取、模型调用和更新失败，以及重复提交处理；形成预期行为与验证记录要求。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说明架构、机制和接口，评审工程方案，指导处理架构、接口、运行配置及范围变化。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根据评审和验证修订设计，记录关键决策、问题结论及遗留事项。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定义场景，指导使用抽象主体、模拟事件和接口桩验证；审阅跨会话延续、上下文使用、更新纠错、主体隔离及异常处理结果。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完成设计修订、评审意见处理和方案讲解，整理已验证与未验证内容、已知限制及后续依赖。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采用显式患者表示、基础长期记忆、单一助理和可追溯更新。患者专属训练、复杂画像推断、知识图谱、多 Agent、预测推演、主动业务执行、外部系统自动回写及生产高可用后置。暂不细化患者临床字段、具体业务功能或专用算法。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二 DX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项目名称：DX 共用持续改进框架首期架构设计与最小闭环验证。临床工作流与软件开发共用控制流程，分别适配执行、评价和发布要求。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梳理系统、模型服务、工作流资产、代码仓库及评估条件，明确首期范围、接入边界、假设、依赖与扩展位置。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设计任务基线、候选生成、隔离执行、轨迹记录、评估选择、评审发布和回退；区分业务资产、改进执行器、探索策略与评估器。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定义任务、基线、候选、执行、评估、决策和发布资产的关系；明确可修改范围、执行权限、实验预算、停止条件及受保护的评价依据。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设计假设、历史轨迹、经验结论与可复用机制的记录、审阅和版本管理；区分执行成功、质量合格、搜索采纳与正式发布。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设计问题登记、基线确认、候选提出、隔离执行、评估比较及采纳或保留原版本；明确两类任务适配、测量有效性、回归和资源记录。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设计人工评审、组合依赖检查、发布回退及异常追溯，覆盖失败、有限重试、中断恢复和重复提交；定义回放记录结构与接口原则。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说明设计，评审工程实现方案，指导处理隔离、版本关联、评估有效性及流程一致性问题。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根据工程验证与评审修订设计，记录架构、接口和范围变化的处理结论。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定义两类任务的最小代表路径，指导用抽象任务、模拟资产或具备条件的实际任务验证；审阅候选阻断、无效评估、保留基线及恢复等结果。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审阅发布与回退核心状态，区分框架、任务改进、机制泛化及临床效果结论，完成材料修订、讲解与交接。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固定且受限的探索策略、实际执行与评估比较、人工评审和版本追溯。历史回放本期完成记录及接口原则；有限实际回放是另行确认的扩展项。自动策略优化、执行器自修改、权重训练、无人评审发布、大规模跨院部署及长期运维后置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三 交付物与阶段完成依据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每个项目分别形成以下四类顾问牵头交付内容，两项目合计两套。可合并为统一文档包，但保留项目名称、版本、完成状态与对应证据。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952"/>
        <w:gridCol w:w="7214"/>
      </w:tblGrid>
      <w:tr>
        <w:trPr>
          <w:cantSplit/>
          <w:tblHeader/>
        </w:trPr>
        <w:tc>
          <w:tcPr>
            <w:tcW w:type="dxa" w:w="295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顾问牵头交付物</w:t>
            </w:r>
          </w:p>
        </w:tc>
        <w:tc>
          <w:tcPr>
            <w:tcW w:type="dxa" w:w="721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统一内容要求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首期总体架构与范围说明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架构图、模块职责、接入边界、首期范围、设计假设、依赖及待确认事项。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核心机制 流程与接口约定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核心对象、管理机制、关键流程、接口原则、权限及版本约定；各自项目的具体机制单独说明。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框架验证方案与技术评审记录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验证路径、场景和预期行为，工程方案评审、过程及结果审阅结论、问题处理记录。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首期总结与交接说明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最终设计结论、已验证与未验证内容、已知限制、遗留事项及后续建议。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工程团队配套交付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按项目分别提交最小框架实现与验证包，包含以下内容：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约定范围内的源代码、配置模板及运行说明。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最小接入或任务适配，抽象／模拟输入、接口桩与验证用例。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核心流程、版本关联、评估与异常处理记录及验证结果。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问题修复、必要恢复或回退说明，以及已知工程限制。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统一阶段与完成依据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77"/>
        <w:gridCol w:w="7690"/>
      </w:tblGrid>
      <w:tr>
        <w:trPr>
          <w:cantSplit/>
          <w:tblHeader/>
        </w:trPr>
        <w:tc>
          <w:tcPr>
            <w:tcW w:type="dxa" w:w="2477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769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主要成果与完成依据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阶段一 架构与范围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架构和范围说明形成并评审；首期边界、关键依赖及待确认事项明确。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阶段二 机制与验证准备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机制、流程、接口与验证方案形成；最小工程范围、环境和评价依据明确，具备对应实施条件。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阶段三 实施与闭环验证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工程包、评审与结果记录形成；核心阻断问题处理完成，其他问题有记录与处理安排。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阶段四 总结与交接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顾问材料与工程包整理完成；已验证范围、限制、遗留事项和后续责任明确，完成交接确认。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顾问技术审阅与项目方交付接收分别记录。共享模板和设计原则可以联合讨论，两个项目的资产、权限、实施依赖及验证结论独立保留；系统集成另列后续范围。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四 资源假设与估算基础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顾问合计每周 8-12 小时已确认；下列工程配置、工作量和响应时限是规划假设，需在启动前核对。主要工程师应能独立承担相关框架工程，并具有代码和环境操作权限。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016"/>
        <w:gridCol w:w="4075"/>
        <w:gridCol w:w="4075"/>
      </w:tblGrid>
      <w:tr>
        <w:trPr>
          <w:cantSplit/>
          <w:tblHeader/>
        </w:trPr>
        <w:tc>
          <w:tcPr>
            <w:tcW w:type="dxa" w:w="201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4075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并行版</w:t>
            </w:r>
          </w:p>
        </w:tc>
        <w:tc>
          <w:tcPr>
            <w:tcW w:type="dxa" w:w="4075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顺序版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主要工程师</w:t>
            </w:r>
          </w:p>
        </w:tc>
        <w:tc>
          <w:tcPr>
            <w:tcW w:type="dxa" w:w="4075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CX、DX 各约 1.0 FTE，形成两份稳定实施容量</w:t>
            </w:r>
          </w:p>
        </w:tc>
        <w:tc>
          <w:tcPr>
            <w:tcW w:type="dxa" w:w="4075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当前项目约 1.0 FTE，可由同一工程师依次承担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测试与运维支持</w:t>
            </w:r>
          </w:p>
        </w:tc>
        <w:tc>
          <w:tcPr>
            <w:tcW w:type="dxa" w:w="4075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两项目共享合计约 0.4-0.6 FTE，保障验证阶段</w:t>
            </w:r>
          </w:p>
        </w:tc>
        <w:tc>
          <w:tcPr>
            <w:tcW w:type="dxa" w:w="4075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当前项目约 0.2-0.4 FTE，验证阶段预留支持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技术与业务支持</w:t>
            </w:r>
          </w:p>
        </w:tc>
        <w:tc>
          <w:tcPr>
            <w:tcW w:type="dxa" w:w="4075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两项目分别明确接口责任人和专业评价责任人</w:t>
            </w:r>
          </w:p>
        </w:tc>
        <w:tc>
          <w:tcPr>
            <w:tcW w:type="dxa" w:w="4075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当前项目集中支持，切换前复核下一项目条件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项目负责人</w:t>
            </w:r>
          </w:p>
        </w:tc>
        <w:tc>
          <w:tcPr>
            <w:tcW w:type="dxa" w:w="4075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协调两条工作线、范围、资源、授权与交付接收</w:t>
            </w:r>
          </w:p>
        </w:tc>
        <w:tc>
          <w:tcPr>
            <w:tcW w:type="dxa" w:w="4075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协调当前项目和后续项目启动、切换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顾问参与方式与工作量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并行时参考分配：CX 每周约 3-4 小时，DX 约 4-5 小时，协调与记录约 1-2 小时，总量在已确认容量内调整。同步会议合计约 1.5-2.5 小时／周，计入投入，其余优先用于设计、文档和集中审阅。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6480"/>
        <w:gridCol w:w="3686"/>
      </w:tblGrid>
      <w:tr>
        <w:trPr>
          <w:cantSplit/>
          <w:tblHeader/>
        </w:trPr>
        <w:tc>
          <w:tcPr>
            <w:tcW w:type="dxa" w:w="648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36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顾问实际工作量初估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设计 指导 评审与交接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30-40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设计 指导 评审与交接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40-52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 版本对齐或项目切换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8-12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78-104 小时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每周 8-12 小时是可安排容量，实际投入随阶段变化，不要求工程运行或等待阶段占满。单看容量约需 6.5-13 个投入周；总交付周期仍受工程和验证约束，不能按该除法直接确定交付日。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工程与评审假设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主要实现与自测暂估 CX 约 5-7 工程人周、DX 约 7-9 工程人周；测试运维支持另列。1.0 FTE 按每周约 40 小时排期，不等于纯编码时长。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普通答疑暂按约 2 个工作日、阶段材料约 3 个工作日内汇总意见；每阶段一轮汇总评审及有限修订。方向性变更或多轮重做重新估算。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工程团队预约提交可运行版本、差异说明与验证证据；顾问按固定窗口审阅。工程编码、部署、自测和日常排查由工程团队负责。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五 版本一 两个项目并行推进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资源基线：顾问合计每周 8-12 小时，CX、DX 各一名主要工程师稳定全职投入，另配共享测试与运维支持。整体讨论窗口约 12-16 周。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两项目共同启动资料核对，集中设计与评审错开约一周。CX 先占首批设计时段，DX 随准备程度进入；两项目无先建成一个才能开展另一个的技术依赖。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232"/>
        <w:gridCol w:w="1800"/>
        <w:gridCol w:w="1800"/>
        <w:gridCol w:w="4334"/>
      </w:tblGrid>
      <w:tr>
        <w:trPr>
          <w:cantSplit/>
          <w:tblHeader/>
        </w:trPr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180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CX 周序</w:t>
            </w:r>
          </w:p>
        </w:tc>
        <w:tc>
          <w:tcPr>
            <w:tcW w:type="dxa" w:w="180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DX 周序</w:t>
            </w:r>
          </w:p>
        </w:tc>
        <w:tc>
          <w:tcPr>
            <w:tcW w:type="dxa" w:w="433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主要阶段交付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架构与范围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1-2 周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2-3 周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总体架构与范围说明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机制与验证准备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2-4 周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3-5 周</w:t>
            </w:r>
          </w:p>
        </w:tc>
        <w:tc>
          <w:tcPr>
            <w:tcW w:type="dxa" w:w="433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机制、流程、接口约定与验证方案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工程实现与自测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3-8 周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4-10 周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已确认模块的最小实现与适配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闭环验证与修订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7-9 周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9-12 周</w:t>
            </w:r>
          </w:p>
        </w:tc>
        <w:tc>
          <w:tcPr>
            <w:tcW w:type="dxa" w:w="433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工程验证包、评审记录与问题处理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总结与交接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9-10 周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12-13 周</w:t>
            </w:r>
          </w:p>
        </w:tc>
        <w:tc>
          <w:tcPr>
            <w:tcW w:type="dxa" w:w="433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四类顾问材料与各自工程包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交付节奏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CX 参考目标为第 9-10 周先完成交付，DX 参考目标为第 12-13 周完成交付；各项目达到条件后分别确认，可以分批交付。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整体采用约 12-16 周窗口，第 14-16 周容纳正常补充验证、评审错峰及有限返修，已计入窗口内，不重复叠加同类缓冲。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阶段环节可交错，不能逐行相加。工程提前开始仅针对已确认的设计内容；两个项目可以处于不同阶段。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资源与关键路径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并行版需要两份实际工程容量。相较顺序版，其主要工程资源峰值增加，因此周期差异同时反映人手配置与推进方式，不能全部解释为并行效率收益。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关键路径暂看 DX 两类任务适配、环境隔离与完整验证，以及顾问集中审阅时点；架构评审后按实际条件复核。若顾问长期接近每周 8 小时，按窗口中上段排期并错开评审高峰。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只有一名主要工程师总计约 1.0 FTE 时，同时启动仅能部分重叠资料与设计，暂按接近顺序版的 17-22 周讨论，拆分任务后复核。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六 版本二 完成一个项目后再推进另一个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资源基线：顾问每周可安排 8-12 小时服务当前项目，主要工程师约 1.0 FTE，另配测试与运维支持。先行项目完成约定交付与交接后，再正式启动后续项目。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232"/>
        <w:gridCol w:w="2088"/>
        <w:gridCol w:w="2088"/>
        <w:gridCol w:w="3758"/>
      </w:tblGrid>
      <w:tr>
        <w:trPr>
          <w:cantSplit/>
          <w:tblHeader/>
        </w:trPr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088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CX 单项目周序</w:t>
            </w:r>
          </w:p>
        </w:tc>
        <w:tc>
          <w:tcPr>
            <w:tcW w:type="dxa" w:w="2088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DX 单项目周序</w:t>
            </w:r>
          </w:p>
        </w:tc>
        <w:tc>
          <w:tcPr>
            <w:tcW w:type="dxa" w:w="3758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架构与范围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 周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1-2 周</w:t>
            </w:r>
          </w:p>
        </w:tc>
        <w:tc>
          <w:tcPr>
            <w:tcW w:type="dxa" w:w="375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架构与范围说明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机制与验证准备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2-3 周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2-4 周</w:t>
            </w:r>
          </w:p>
        </w:tc>
        <w:tc>
          <w:tcPr>
            <w:tcW w:type="dxa" w:w="375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机制、接口与验证方案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实施与闭环验证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3-7 周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3-9 周</w:t>
            </w:r>
          </w:p>
        </w:tc>
        <w:tc>
          <w:tcPr>
            <w:tcW w:type="dxa" w:w="375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工程包、评审及结果记录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总结与交接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7-9 周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9-11 周</w:t>
            </w:r>
          </w:p>
        </w:tc>
        <w:tc>
          <w:tcPr>
            <w:tcW w:type="dxa" w:w="375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顾问材料与工程包交接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表中周序从各项目自身启动计算，不是两项目共同的绝对周序。架构与验证条件成熟时可在窗口前段交付，后段用于约定范围内的修订与整理。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整体周期与两种顺序</w:t>
      </w:r>
    </w:p>
    <w:p>
      <w:pPr>
        <w:widowControl/>
      </w:pPr>
      <w:r>
        <w:rPr>
          <w:rFonts w:ascii="Arial" w:hAnsi="Arial" w:eastAsia="Hiragino Sans GB"/>
          <w:b/>
          <w:color w:val="000000"/>
          <w:sz w:val="22"/>
        </w:rPr>
        <w:t>CX 7-9 周 + DX 9-11 周 + 切换 0-1 周 + 两项目合计正常机动 1 周，整体约 17-22 周。机动只计一次；重大外部等待另计。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4003"/>
        <w:gridCol w:w="4003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先后顺序</w:t>
            </w:r>
          </w:p>
        </w:tc>
        <w:tc>
          <w:tcPr>
            <w:tcW w:type="dxa" w:w="4003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首批完整交付</w:t>
            </w:r>
          </w:p>
        </w:tc>
        <w:tc>
          <w:tcPr>
            <w:tcW w:type="dxa" w:w="4003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两项目整体交付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→ DX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约第 7-9 周</w:t>
            </w:r>
          </w:p>
        </w:tc>
        <w:tc>
          <w:tcPr>
            <w:tcW w:type="dxa" w:w="4003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约第 17-22 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→ CX</w:t>
            </w:r>
          </w:p>
        </w:tc>
        <w:tc>
          <w:tcPr>
            <w:tcW w:type="dxa" w:w="4003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约第 9-11 周</w:t>
            </w:r>
          </w:p>
        </w:tc>
        <w:tc>
          <w:tcPr>
            <w:tcW w:type="dxa" w:w="4003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约第 17-22 周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切换条件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先行项目四类顾问材料及约定工程包形成，完成讲解与交接；核心阻断问题处理完成，其他问题明确状态与责任。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验证层级、实际环境、模拟或真实接口、未覆盖内容与后续依赖有记录，项目方完成交付接收。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后续项目重新确认资料、人员、环境和评价依据。启动准备可盘点依赖，实质设计与实施在切换后开展。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先推进条件更成熟、业务优先级更高的一项；条件相近时可讨论先 CX 形成完整交付，但不预设一种顺序必然减少总工作量。模板和原则可复用，各自设计与验证仍需完成。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前一项目新增需求和持续运维另行明确。若先行项目受外部条件阻塞，需要明确调整范围或推进方式，不自动将其记为完成。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七 启动依赖与交付边界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第 1 周从约定启动条件具备并召开启动会时计算。排入实际日历前，再核对节假日、人员休假和既有任务。以下条件按对应阶段准备，不把完整患者数据追加为框架级启动前提。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48"/>
        <w:gridCol w:w="2232"/>
        <w:gridCol w:w="5486"/>
      </w:tblGrid>
      <w:tr>
        <w:trPr>
          <w:cantSplit/>
          <w:tblHeader/>
        </w:trPr>
        <w:tc>
          <w:tcPr>
            <w:tcW w:type="dxa" w:w="2448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依赖条件</w:t>
            </w:r>
          </w:p>
        </w:tc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具备时点</w:t>
            </w:r>
          </w:p>
        </w:tc>
        <w:tc>
          <w:tcPr>
            <w:tcW w:type="dxa" w:w="54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责任与处理原则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范围 负责人和实际投入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启动前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项目方锁定顾问容量、主要工程资源和接口人；未锁定时只做准备。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系统资料及权限边界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架构阶段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项目方与工程团队提供架构、资产、接口说明；关键缺口先处理，其他缺口记录为假设。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模型与执行环境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对应实施前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工程团队与项目方落实模型调用、存储、测试和隔离；采购、网络与审批等待单列。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验证输入与更新约定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验证准备完成前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准备抽象主体、模拟事件和接口桩，明确来源、读取与更新要求。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代表路径与评价依据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验证准备完成前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明确两类任务、合格／不合格样例、受保护评价与测试入口。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可运行版本与证据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每次工程评审前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工程团队提供版本、差异、过程记录和复现说明；未齐时重排受影响评审。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评审与交付接收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阶段评审和交接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项目方汇总业务／专业意见，按确认的响应节奏组织接收并明确后续责任。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范围与验证结论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两项目首期均聚焦框架与流程。真实数据适配、医院系统实际联调、生产上线和临床效果评价在条件具备后另行明确；DX 的任务收益与机制泛化也需独立证据。模拟验证按实际覆盖层级报告。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 历史回放本期完成记录与接口原则，有限实际回放不纳入默认最小工程交付。框架验证允许保留原版本，不要求每轮都产生更优候选。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进度复核与变更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启动前、架构评审后及进入工程验证前复核资源与依赖。投入下降、重大范围修改、新增真实接口、实际回放或生产要求时，单独明确新增工作与评价条件，再调整排期。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周期窗口包含正常评审与有限返修；关键路径上的重大外部等待另计，重叠等待只计净影响。尚未具备的条件和延期原因保留记录，不通过降低交付要求消化。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/>
        <w:color w:val="555555"/>
        <w:sz w:val="18"/>
      </w:rPr>
      <w:t xml:space="preserve">第 </w:t>
    </w:r>
    <w:r>
      <w:rPr>
        <w:rFonts w:ascii="Arial" w:hAnsi="Arial" w:eastAsia="Hiragino Sans GB"/>
        <w:color w:val="555555"/>
        <w:sz w:val="18"/>
      </w:rPr>
    </w:r>
    <w:fldSimple w:instr="PAGE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 / 共 </w:t>
    </w:r>
    <w:r>
      <w:rPr>
        <w:rFonts w:ascii="Arial" w:hAnsi="Arial" w:eastAsia="Hiragino Sans GB"/>
        <w:color w:val="555555"/>
        <w:sz w:val="18"/>
      </w:rPr>
    </w:r>
    <w:fldSimple w:instr="NUMPAGES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  <w:snapToGrid w:val="0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20" w:lineRule="exact"/>
      <w:outlineLvl w:val="2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  <w:snapToGrid w:val="0"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400" w:lineRule="exact"/>
      <w:snapToGrid w:val="0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0" w:lineRule="exact"/>
      <w:ind w:left="245" w:hanging="173"/>
      <w:contextualSpacing/>
      <w:snapToGrid w:val="0"/>
    </w:pPr>
    <w:rPr>
      <w:rFonts w:ascii="Arial" w:hAnsi="Arial" w:eastAsia="Hiragino Sans GB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CX 与 DX 首期项目工作说明书及推进方案</dc:title>
  <dc:subject>工作内容 交付物 分工 阶段节奏 资源与依赖</dc:subject>
  <dc:creator/>
  <cp:keywords>CX DX SOW</cp:keywords>
  <dc:description/>
  <cp:lastModifiedBy/>
  <cp:revision>1</cp:revision>
  <dcterms:created xsi:type="dcterms:W3CDTF">2026-10-21T00:00:00Z</dcterms:created>
  <dcterms:modified xsi:type="dcterms:W3CDTF">2026-10-21T00:00:00Z</dcterms:modified>
  <cp:category/>
</cp:coreProperties>
</file>