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黑体" w:hAnsi="黑体" w:eastAsia="黑体"/>
          <w:b/>
          <w:sz w:val="32"/>
        </w:rPr>
        <w:t>中 南 财 经 政 法 大 学</w:t>
        <w:br/>
        <w:t>研 究 生 课 程 考 试 试 卷</w:t>
        <w:br/>
        <w:t>（研究论文/案例）</w:t>
      </w:r>
    </w:p>
    <w:p>
      <w:pPr>
        <w:spacing w:line="360" w:lineRule="auto" w:after="0" w:before="0"/>
        <w:jc w:val="left"/>
      </w:pPr>
      <w:r>
        <w:rPr>
          <w:rFonts w:ascii="宋体" w:hAnsi="宋体" w:eastAsia="宋体"/>
          <w:sz w:val="24"/>
        </w:rPr>
        <w:t xml:space="preserve">论文题目  </w:t>
      </w:r>
      <w:r>
        <w:rPr>
          <w:rFonts w:ascii="宋体" w:hAnsi="宋体" w:eastAsia="宋体"/>
          <w:sz w:val="24"/>
        </w:rPr>
        <w:t>房地产行业风险释放完了吗？——基于风险评分模型与压力测试的评估</w:t>
      </w:r>
    </w:p>
    <w:p>
      <w:pPr>
        <w:spacing w:line="360" w:lineRule="auto" w:after="0" w:before="0"/>
        <w:jc w:val="left"/>
      </w:pPr>
      <w:r>
        <w:rPr>
          <w:rFonts w:ascii="宋体" w:hAnsi="宋体" w:eastAsia="宋体"/>
          <w:sz w:val="24"/>
        </w:rPr>
        <w:t xml:space="preserve">课程名称  </w:t>
      </w:r>
      <w:r>
        <w:rPr>
          <w:rFonts w:ascii="宋体" w:hAnsi="宋体" w:eastAsia="宋体"/>
          <w:sz w:val="24"/>
        </w:rPr>
        <w:t>金融风险管理</w:t>
      </w:r>
    </w:p>
    <w:p>
      <w:pPr>
        <w:spacing w:line="360" w:lineRule="auto" w:after="0" w:before="0"/>
        <w:jc w:val="left"/>
      </w:pPr>
      <w:r>
        <w:rPr>
          <w:rFonts w:ascii="宋体" w:hAnsi="宋体" w:eastAsia="宋体"/>
          <w:sz w:val="24"/>
        </w:rPr>
        <w:t xml:space="preserve">完成时间  </w:t>
      </w:r>
      <w:r>
        <w:rPr>
          <w:rFonts w:ascii="宋体" w:hAnsi="宋体" w:eastAsia="宋体"/>
          <w:sz w:val="24"/>
        </w:rPr>
        <w:t>2026年4月</w:t>
      </w:r>
    </w:p>
    <w:p>
      <w:pPr>
        <w:spacing w:line="360" w:lineRule="auto" w:after="0" w:before="0"/>
        <w:jc w:val="left"/>
      </w:pPr>
      <w:r>
        <w:rPr>
          <w:rFonts w:ascii="宋体" w:hAnsi="宋体" w:eastAsia="宋体"/>
          <w:sz w:val="24"/>
        </w:rPr>
        <w:t xml:space="preserve">专业年级  </w:t>
      </w:r>
      <w:r>
        <w:rPr>
          <w:rFonts w:ascii="宋体" w:hAnsi="宋体" w:eastAsia="宋体"/>
          <w:sz w:val="24"/>
        </w:rPr>
        <w:t>25应用统计（金融统计）</w:t>
      </w:r>
    </w:p>
    <w:p/>
    <w:p>
      <w:pPr>
        <w:spacing w:line="360" w:lineRule="auto" w:after="0" w:before="0"/>
      </w:pPr>
      <w:r>
        <w:rPr>
          <w:rFonts w:ascii="宋体" w:hAnsi="宋体" w:eastAsia="宋体"/>
          <w:b w:val="0"/>
          <w:sz w:val="24"/>
        </w:rPr>
        <w:t>题  目（自拟题目）</w:t>
      </w:r>
    </w:p>
    <w:p>
      <w:pPr>
        <w:spacing w:line="360" w:lineRule="auto" w:after="0" w:before="0"/>
        <w:jc w:val="center"/>
      </w:pPr>
      <w:r>
        <w:rPr>
          <w:rFonts w:ascii="黑体" w:hAnsi="黑体" w:eastAsia="黑体"/>
          <w:b w:val="0"/>
          <w:sz w:val="32"/>
        </w:rPr>
        <w:t>房地产行业风险释放完了吗？——基于风险评分模型与压力测试的评估</w:t>
      </w:r>
    </w:p>
    <w:p>
      <w:pPr>
        <w:spacing w:line="360" w:lineRule="auto" w:after="0" w:before="0"/>
        <w:ind w:firstLine="420"/>
      </w:pPr>
      <w:r>
        <w:rPr>
          <w:rFonts w:ascii="宋体" w:hAnsi="宋体" w:eastAsia="宋体"/>
          <w:b w:val="0"/>
          <w:sz w:val="24"/>
        </w:rPr>
        <w:t>摘要：本文选取国家统计局发布的2019—2025年全国房地产开发与销售年度数据，并补充2026年1—3月份最新数据，从开发端、销售端、资金端与库存端评估房地产行业风险是否已经充分释放。与单纯的描述性分析不同，本文在金融风险管理框架下构建了两个模型：一是房地产行业风险评分模型，将开发投资、新开工、销售面积、到位资金、待售面积和竣工面积六项指标统一转化为风险方向后进行标准化评分；二是压力测试模型，在2025年行业基准状态下设置轻度、中度和重度三类冲击情景，考察销售收缩与资金回落对库存去化月数和资金覆盖率的影响。研究发现：2022年是样本期风险峰值年份，风险评分达到83.15分；2024年风险再次显著抬升，说明行业并未完成平稳出清；2025年基准情景下库存去化月数已达10.4个月、资金覆盖率为1.12，一旦进入中度及以上压力情景，库存压力将升至12个月附近甚至以上，资金覆盖率接近或跌破1。结合2026年一季度投资、开工、销售和到位资金仍为负增长的事实，本文认为房地产行业风险并未“释放完”，而是由急性流动性风险转向慢性资产负债表修复风险。</w:t>
      </w:r>
    </w:p>
    <w:p>
      <w:pPr>
        <w:spacing w:line="360" w:lineRule="auto" w:after="0" w:before="0"/>
        <w:ind w:firstLine="420"/>
      </w:pPr>
      <w:r>
        <w:rPr>
          <w:rFonts w:ascii="宋体" w:hAnsi="宋体" w:eastAsia="宋体"/>
          <w:b w:val="0"/>
          <w:sz w:val="24"/>
        </w:rPr>
        <w:t>关键词：房地产风险；金融风险管理；风险评分模型；压力测试；库存去化</w:t>
      </w:r>
    </w:p>
    <w:p>
      <w:pPr>
        <w:spacing w:line="360" w:lineRule="auto" w:after="0" w:before="0"/>
      </w:pPr>
      <w:r>
        <w:rPr>
          <w:rFonts w:ascii="黑体" w:hAnsi="黑体" w:eastAsia="黑体"/>
          <w:b/>
          <w:sz w:val="28"/>
        </w:rPr>
        <w:t>一、问题提出与研究思路</w:t>
      </w:r>
    </w:p>
    <w:p>
      <w:pPr>
        <w:spacing w:line="360" w:lineRule="auto" w:after="0" w:before="0"/>
        <w:ind w:firstLine="420"/>
      </w:pPr>
      <w:r>
        <w:rPr>
          <w:rFonts w:ascii="宋体" w:hAnsi="宋体" w:eastAsia="宋体"/>
          <w:b w:val="0"/>
          <w:sz w:val="24"/>
        </w:rPr>
        <w:t>房地产行业兼具投资品、消费品和金融抵押品属性，其波动不仅影响经济增长，还会通过商业银行信贷资产、地方财政收入、居民资产负债表和市场预期传导至更广泛的金融体系。自2021年以来，中国房地产市场进入深度调整阶段，市场关注焦点也从“是否会集中暴雷”转向“风险是否已经释放完毕”。这一问题本质上属于金融风险管理中的动态识别与持续监测问题。</w:t>
      </w:r>
    </w:p>
    <w:p>
      <w:pPr>
        <w:spacing w:line="360" w:lineRule="auto" w:after="0" w:before="0"/>
        <w:ind w:firstLine="420"/>
      </w:pPr>
      <w:r>
        <w:rPr>
          <w:rFonts w:ascii="宋体" w:hAnsi="宋体" w:eastAsia="宋体"/>
          <w:b w:val="0"/>
          <w:sz w:val="24"/>
        </w:rPr>
        <w:t>如果仅看个别指标的阶段性回升，容易将政策托底下的短暂修复误判为风险已经出清。因此，本文不只做趋势描述，而是引入金融风险管理中常用的“风险评分+压力测试”思路：先用风险评分模型对各年份总体压力进行横向比较，再用压力测试模型评估在不利情景下行业脆弱性是否仍然显著，从而回答课程论文的核心问题。</w:t>
      </w:r>
    </w:p>
    <w:p>
      <w:pPr>
        <w:spacing w:line="360" w:lineRule="auto" w:after="0" w:before="0"/>
      </w:pPr>
      <w:r>
        <w:rPr>
          <w:rFonts w:ascii="黑体" w:hAnsi="黑体" w:eastAsia="黑体"/>
          <w:b/>
          <w:sz w:val="28"/>
        </w:rPr>
        <w:t>二、数据来源与金融风险管理模型</w:t>
      </w:r>
    </w:p>
    <w:p>
      <w:pPr>
        <w:spacing w:line="360" w:lineRule="auto" w:after="0" w:before="0"/>
      </w:pPr>
      <w:r>
        <w:rPr>
          <w:rFonts w:ascii="黑体" w:hAnsi="黑体" w:eastAsia="黑体"/>
          <w:b/>
          <w:sz w:val="24"/>
        </w:rPr>
        <w:t>（一）数据来源</w:t>
      </w:r>
    </w:p>
    <w:p>
      <w:pPr>
        <w:spacing w:line="360" w:lineRule="auto" w:after="0" w:before="0"/>
        <w:ind w:firstLine="420"/>
      </w:pPr>
      <w:r>
        <w:rPr>
          <w:rFonts w:ascii="宋体" w:hAnsi="宋体" w:eastAsia="宋体"/>
          <w:b w:val="0"/>
          <w:sz w:val="24"/>
        </w:rPr>
        <w:t>本文核心数据全部来自国家统计局公开资料。年度数据采用2019—2025年《中华人民共和国国民经济和社会发展统计公报》中“房地产开发和销售主要指标及其增长速度”表；最新进展采用《2026年1—3月份全国房地产市场基本情况》。这些数据口径统一、可追溯性强，适合用作课程论文的宏观风险识别基础。</w:t>
      </w:r>
    </w:p>
    <w:p>
      <w:pPr>
        <w:spacing w:line="360" w:lineRule="auto" w:after="0" w:before="0"/>
      </w:pPr>
      <w:r>
        <w:rPr>
          <w:rFonts w:ascii="黑体" w:hAnsi="黑体" w:eastAsia="黑体"/>
          <w:b/>
          <w:sz w:val="24"/>
        </w:rPr>
        <w:t>（二）指标体系与风险方向</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tcPr>
          <w:p>
            <w:pPr>
              <w:spacing w:before="40" w:after="40"/>
              <w:jc w:val="center"/>
            </w:pPr>
            <w:r/>
            <w:r>
              <w:rPr>
                <w:rFonts w:ascii="宋体" w:hAnsi="宋体" w:eastAsia="宋体"/>
                <w:b/>
                <w:sz w:val="21"/>
              </w:rPr>
              <w:t>维度</w:t>
            </w:r>
          </w:p>
        </w:tc>
        <w:tc>
          <w:tcPr>
            <w:tcW w:type="dxa" w:w="2266"/>
            <w:vAlign w:val="center"/>
          </w:tcPr>
          <w:p>
            <w:pPr>
              <w:spacing w:before="40" w:after="40"/>
              <w:jc w:val="center"/>
            </w:pPr>
            <w:r/>
            <w:r>
              <w:rPr>
                <w:rFonts w:ascii="宋体" w:hAnsi="宋体" w:eastAsia="宋体"/>
                <w:b/>
                <w:sz w:val="21"/>
              </w:rPr>
              <w:t>指标</w:t>
            </w:r>
          </w:p>
        </w:tc>
        <w:tc>
          <w:tcPr>
            <w:tcW w:type="dxa" w:w="2266"/>
            <w:vAlign w:val="center"/>
          </w:tcPr>
          <w:p>
            <w:pPr>
              <w:spacing w:before="40" w:after="40"/>
              <w:jc w:val="center"/>
            </w:pPr>
            <w:r/>
            <w:r>
              <w:rPr>
                <w:rFonts w:ascii="宋体" w:hAnsi="宋体" w:eastAsia="宋体"/>
                <w:b/>
                <w:sz w:val="21"/>
              </w:rPr>
              <w:t>记号</w:t>
            </w:r>
          </w:p>
        </w:tc>
        <w:tc>
          <w:tcPr>
            <w:tcW w:type="dxa" w:w="2266"/>
            <w:vAlign w:val="center"/>
          </w:tcPr>
          <w:p>
            <w:pPr>
              <w:spacing w:before="40" w:after="40"/>
              <w:jc w:val="center"/>
            </w:pPr>
            <w:r/>
            <w:r>
              <w:rPr>
                <w:rFonts w:ascii="宋体" w:hAnsi="宋体" w:eastAsia="宋体"/>
                <w:b/>
                <w:sz w:val="21"/>
              </w:rPr>
              <w:t>风险方向说明</w:t>
            </w:r>
          </w:p>
        </w:tc>
      </w:tr>
      <w:tr>
        <w:tc>
          <w:tcPr>
            <w:tcW w:type="dxa" w:w="2266"/>
            <w:vAlign w:val="center"/>
          </w:tcPr>
          <w:p>
            <w:pPr>
              <w:spacing w:before="40" w:after="40"/>
              <w:jc w:val="center"/>
            </w:pPr>
            <w:r/>
            <w:r>
              <w:rPr>
                <w:rFonts w:ascii="宋体" w:hAnsi="宋体" w:eastAsia="宋体"/>
                <w:b w:val="0"/>
                <w:sz w:val="20"/>
              </w:rPr>
              <w:t>开发端</w:t>
            </w:r>
          </w:p>
        </w:tc>
        <w:tc>
          <w:tcPr>
            <w:tcW w:type="dxa" w:w="2266"/>
            <w:vAlign w:val="center"/>
          </w:tcPr>
          <w:p>
            <w:pPr>
              <w:spacing w:before="40" w:after="40"/>
              <w:jc w:val="center"/>
            </w:pPr>
            <w:r/>
            <w:r>
              <w:rPr>
                <w:rFonts w:ascii="宋体" w:hAnsi="宋体" w:eastAsia="宋体"/>
                <w:b w:val="0"/>
                <w:sz w:val="20"/>
              </w:rPr>
              <w:t>房地产开发投资同比</w:t>
            </w:r>
          </w:p>
        </w:tc>
        <w:tc>
          <w:tcPr>
            <w:tcW w:type="dxa" w:w="2266"/>
            <w:vAlign w:val="center"/>
          </w:tcPr>
          <w:p>
            <w:pPr>
              <w:spacing w:before="40" w:after="40"/>
              <w:jc w:val="center"/>
            </w:pPr>
            <w:r/>
            <w:r>
              <w:rPr>
                <w:rFonts w:ascii="宋体" w:hAnsi="宋体" w:eastAsia="宋体"/>
                <w:b w:val="0"/>
                <w:sz w:val="20"/>
              </w:rPr>
              <w:t>investment_yoy</w:t>
            </w:r>
          </w:p>
        </w:tc>
        <w:tc>
          <w:tcPr>
            <w:tcW w:type="dxa" w:w="2266"/>
            <w:vAlign w:val="center"/>
          </w:tcPr>
          <w:p>
            <w:pPr>
              <w:spacing w:before="40" w:after="40"/>
              <w:jc w:val="left"/>
            </w:pPr>
            <w:r/>
            <w:r>
              <w:rPr>
                <w:rFonts w:ascii="宋体" w:hAnsi="宋体" w:eastAsia="宋体"/>
                <w:b w:val="0"/>
                <w:sz w:val="20"/>
              </w:rPr>
              <w:t>下降越多，风险越高</w:t>
            </w:r>
          </w:p>
        </w:tc>
      </w:tr>
      <w:tr>
        <w:tc>
          <w:tcPr>
            <w:tcW w:type="dxa" w:w="2266"/>
            <w:vAlign w:val="center"/>
          </w:tcPr>
          <w:p>
            <w:pPr>
              <w:spacing w:before="40" w:after="40"/>
              <w:jc w:val="center"/>
            </w:pPr>
            <w:r/>
            <w:r>
              <w:rPr>
                <w:rFonts w:ascii="宋体" w:hAnsi="宋体" w:eastAsia="宋体"/>
                <w:b w:val="0"/>
                <w:sz w:val="20"/>
              </w:rPr>
              <w:t>开发端</w:t>
            </w:r>
          </w:p>
        </w:tc>
        <w:tc>
          <w:tcPr>
            <w:tcW w:type="dxa" w:w="2266"/>
            <w:vAlign w:val="center"/>
          </w:tcPr>
          <w:p>
            <w:pPr>
              <w:spacing w:before="40" w:after="40"/>
              <w:jc w:val="center"/>
            </w:pPr>
            <w:r/>
            <w:r>
              <w:rPr>
                <w:rFonts w:ascii="宋体" w:hAnsi="宋体" w:eastAsia="宋体"/>
                <w:b w:val="0"/>
                <w:sz w:val="20"/>
              </w:rPr>
              <w:t>房屋新开工面积同比</w:t>
            </w:r>
          </w:p>
        </w:tc>
        <w:tc>
          <w:tcPr>
            <w:tcW w:type="dxa" w:w="2266"/>
            <w:vAlign w:val="center"/>
          </w:tcPr>
          <w:p>
            <w:pPr>
              <w:spacing w:before="40" w:after="40"/>
              <w:jc w:val="center"/>
            </w:pPr>
            <w:r/>
            <w:r>
              <w:rPr>
                <w:rFonts w:ascii="宋体" w:hAnsi="宋体" w:eastAsia="宋体"/>
                <w:b w:val="0"/>
                <w:sz w:val="20"/>
              </w:rPr>
              <w:t>starts_yoy</w:t>
            </w:r>
          </w:p>
        </w:tc>
        <w:tc>
          <w:tcPr>
            <w:tcW w:type="dxa" w:w="2266"/>
            <w:vAlign w:val="center"/>
          </w:tcPr>
          <w:p>
            <w:pPr>
              <w:spacing w:before="40" w:after="40"/>
              <w:jc w:val="left"/>
            </w:pPr>
            <w:r/>
            <w:r>
              <w:rPr>
                <w:rFonts w:ascii="宋体" w:hAnsi="宋体" w:eastAsia="宋体"/>
                <w:b w:val="0"/>
                <w:sz w:val="20"/>
              </w:rPr>
              <w:t>下降越多，风险越高</w:t>
            </w:r>
          </w:p>
        </w:tc>
      </w:tr>
      <w:tr>
        <w:tc>
          <w:tcPr>
            <w:tcW w:type="dxa" w:w="2266"/>
            <w:vAlign w:val="center"/>
          </w:tcPr>
          <w:p>
            <w:pPr>
              <w:spacing w:before="40" w:after="40"/>
              <w:jc w:val="center"/>
            </w:pPr>
            <w:r/>
            <w:r>
              <w:rPr>
                <w:rFonts w:ascii="宋体" w:hAnsi="宋体" w:eastAsia="宋体"/>
                <w:b w:val="0"/>
                <w:sz w:val="20"/>
              </w:rPr>
              <w:t>交付端</w:t>
            </w:r>
          </w:p>
        </w:tc>
        <w:tc>
          <w:tcPr>
            <w:tcW w:type="dxa" w:w="2266"/>
            <w:vAlign w:val="center"/>
          </w:tcPr>
          <w:p>
            <w:pPr>
              <w:spacing w:before="40" w:after="40"/>
              <w:jc w:val="center"/>
            </w:pPr>
            <w:r/>
            <w:r>
              <w:rPr>
                <w:rFonts w:ascii="宋体" w:hAnsi="宋体" w:eastAsia="宋体"/>
                <w:b w:val="0"/>
                <w:sz w:val="20"/>
              </w:rPr>
              <w:t>房屋竣工面积同比</w:t>
            </w:r>
          </w:p>
        </w:tc>
        <w:tc>
          <w:tcPr>
            <w:tcW w:type="dxa" w:w="2266"/>
            <w:vAlign w:val="center"/>
          </w:tcPr>
          <w:p>
            <w:pPr>
              <w:spacing w:before="40" w:after="40"/>
              <w:jc w:val="center"/>
            </w:pPr>
            <w:r/>
            <w:r>
              <w:rPr>
                <w:rFonts w:ascii="宋体" w:hAnsi="宋体" w:eastAsia="宋体"/>
                <w:b w:val="0"/>
                <w:sz w:val="20"/>
              </w:rPr>
              <w:t>completion_yoy</w:t>
            </w:r>
          </w:p>
        </w:tc>
        <w:tc>
          <w:tcPr>
            <w:tcW w:type="dxa" w:w="2266"/>
            <w:vAlign w:val="center"/>
          </w:tcPr>
          <w:p>
            <w:pPr>
              <w:spacing w:before="40" w:after="40"/>
              <w:jc w:val="left"/>
            </w:pPr>
            <w:r/>
            <w:r>
              <w:rPr>
                <w:rFonts w:ascii="宋体" w:hAnsi="宋体" w:eastAsia="宋体"/>
                <w:b w:val="0"/>
                <w:sz w:val="20"/>
              </w:rPr>
              <w:t>下降越多，风险越高</w:t>
            </w:r>
          </w:p>
        </w:tc>
      </w:tr>
      <w:tr>
        <w:tc>
          <w:tcPr>
            <w:tcW w:type="dxa" w:w="2266"/>
            <w:vAlign w:val="center"/>
          </w:tcPr>
          <w:p>
            <w:pPr>
              <w:spacing w:before="40" w:after="40"/>
              <w:jc w:val="center"/>
            </w:pPr>
            <w:r/>
            <w:r>
              <w:rPr>
                <w:rFonts w:ascii="宋体" w:hAnsi="宋体" w:eastAsia="宋体"/>
                <w:b w:val="0"/>
                <w:sz w:val="20"/>
              </w:rPr>
              <w:t>需求端</w:t>
            </w:r>
          </w:p>
        </w:tc>
        <w:tc>
          <w:tcPr>
            <w:tcW w:type="dxa" w:w="2266"/>
            <w:vAlign w:val="center"/>
          </w:tcPr>
          <w:p>
            <w:pPr>
              <w:spacing w:before="40" w:after="40"/>
              <w:jc w:val="center"/>
            </w:pPr>
            <w:r/>
            <w:r>
              <w:rPr>
                <w:rFonts w:ascii="宋体" w:hAnsi="宋体" w:eastAsia="宋体"/>
                <w:b w:val="0"/>
                <w:sz w:val="20"/>
              </w:rPr>
              <w:t>商品房销售面积同比</w:t>
            </w:r>
          </w:p>
        </w:tc>
        <w:tc>
          <w:tcPr>
            <w:tcW w:type="dxa" w:w="2266"/>
            <w:vAlign w:val="center"/>
          </w:tcPr>
          <w:p>
            <w:pPr>
              <w:spacing w:before="40" w:after="40"/>
              <w:jc w:val="center"/>
            </w:pPr>
            <w:r/>
            <w:r>
              <w:rPr>
                <w:rFonts w:ascii="宋体" w:hAnsi="宋体" w:eastAsia="宋体"/>
                <w:b w:val="0"/>
                <w:sz w:val="20"/>
              </w:rPr>
              <w:t>sales_area_yoy</w:t>
            </w:r>
          </w:p>
        </w:tc>
        <w:tc>
          <w:tcPr>
            <w:tcW w:type="dxa" w:w="2266"/>
            <w:vAlign w:val="center"/>
          </w:tcPr>
          <w:p>
            <w:pPr>
              <w:spacing w:before="40" w:after="40"/>
              <w:jc w:val="left"/>
            </w:pPr>
            <w:r/>
            <w:r>
              <w:rPr>
                <w:rFonts w:ascii="宋体" w:hAnsi="宋体" w:eastAsia="宋体"/>
                <w:b w:val="0"/>
                <w:sz w:val="20"/>
              </w:rPr>
              <w:t>下降越多，风险越高</w:t>
            </w:r>
          </w:p>
        </w:tc>
      </w:tr>
      <w:tr>
        <w:tc>
          <w:tcPr>
            <w:tcW w:type="dxa" w:w="2266"/>
            <w:vAlign w:val="center"/>
          </w:tcPr>
          <w:p>
            <w:pPr>
              <w:spacing w:before="40" w:after="40"/>
              <w:jc w:val="center"/>
            </w:pPr>
            <w:r/>
            <w:r>
              <w:rPr>
                <w:rFonts w:ascii="宋体" w:hAnsi="宋体" w:eastAsia="宋体"/>
                <w:b w:val="0"/>
                <w:sz w:val="20"/>
              </w:rPr>
              <w:t>资金端</w:t>
            </w:r>
          </w:p>
        </w:tc>
        <w:tc>
          <w:tcPr>
            <w:tcW w:type="dxa" w:w="2266"/>
            <w:vAlign w:val="center"/>
          </w:tcPr>
          <w:p>
            <w:pPr>
              <w:spacing w:before="40" w:after="40"/>
              <w:jc w:val="center"/>
            </w:pPr>
            <w:r/>
            <w:r>
              <w:rPr>
                <w:rFonts w:ascii="宋体" w:hAnsi="宋体" w:eastAsia="宋体"/>
                <w:b w:val="0"/>
                <w:sz w:val="20"/>
              </w:rPr>
              <w:t>本年到位资金同比</w:t>
            </w:r>
          </w:p>
        </w:tc>
        <w:tc>
          <w:tcPr>
            <w:tcW w:type="dxa" w:w="2266"/>
            <w:vAlign w:val="center"/>
          </w:tcPr>
          <w:p>
            <w:pPr>
              <w:spacing w:before="40" w:after="40"/>
              <w:jc w:val="center"/>
            </w:pPr>
            <w:r/>
            <w:r>
              <w:rPr>
                <w:rFonts w:ascii="宋体" w:hAnsi="宋体" w:eastAsia="宋体"/>
                <w:b w:val="0"/>
                <w:sz w:val="20"/>
              </w:rPr>
              <w:t>funds_yoy</w:t>
            </w:r>
          </w:p>
        </w:tc>
        <w:tc>
          <w:tcPr>
            <w:tcW w:type="dxa" w:w="2266"/>
            <w:vAlign w:val="center"/>
          </w:tcPr>
          <w:p>
            <w:pPr>
              <w:spacing w:before="40" w:after="40"/>
              <w:jc w:val="left"/>
            </w:pPr>
            <w:r/>
            <w:r>
              <w:rPr>
                <w:rFonts w:ascii="宋体" w:hAnsi="宋体" w:eastAsia="宋体"/>
                <w:b w:val="0"/>
                <w:sz w:val="20"/>
              </w:rPr>
              <w:t>下降越多，风险越高</w:t>
            </w:r>
          </w:p>
        </w:tc>
      </w:tr>
      <w:tr>
        <w:tc>
          <w:tcPr>
            <w:tcW w:type="dxa" w:w="2266"/>
            <w:vAlign w:val="center"/>
          </w:tcPr>
          <w:p>
            <w:pPr>
              <w:spacing w:before="40" w:after="40"/>
              <w:jc w:val="center"/>
            </w:pPr>
            <w:r/>
            <w:r>
              <w:rPr>
                <w:rFonts w:ascii="宋体" w:hAnsi="宋体" w:eastAsia="宋体"/>
                <w:b w:val="0"/>
                <w:sz w:val="20"/>
              </w:rPr>
              <w:t>库存端</w:t>
            </w:r>
          </w:p>
        </w:tc>
        <w:tc>
          <w:tcPr>
            <w:tcW w:type="dxa" w:w="2266"/>
            <w:vAlign w:val="center"/>
          </w:tcPr>
          <w:p>
            <w:pPr>
              <w:spacing w:before="40" w:after="40"/>
              <w:jc w:val="center"/>
            </w:pPr>
            <w:r/>
            <w:r>
              <w:rPr>
                <w:rFonts w:ascii="宋体" w:hAnsi="宋体" w:eastAsia="宋体"/>
                <w:b w:val="0"/>
                <w:sz w:val="20"/>
              </w:rPr>
              <w:t>年末商品房待售面积同比</w:t>
            </w:r>
          </w:p>
        </w:tc>
        <w:tc>
          <w:tcPr>
            <w:tcW w:type="dxa" w:w="2266"/>
            <w:vAlign w:val="center"/>
          </w:tcPr>
          <w:p>
            <w:pPr>
              <w:spacing w:before="40" w:after="40"/>
              <w:jc w:val="center"/>
            </w:pPr>
            <w:r/>
            <w:r>
              <w:rPr>
                <w:rFonts w:ascii="宋体" w:hAnsi="宋体" w:eastAsia="宋体"/>
                <w:b w:val="0"/>
                <w:sz w:val="20"/>
              </w:rPr>
              <w:t>inventory_yoy</w:t>
            </w:r>
          </w:p>
        </w:tc>
        <w:tc>
          <w:tcPr>
            <w:tcW w:type="dxa" w:w="2266"/>
            <w:vAlign w:val="center"/>
          </w:tcPr>
          <w:p>
            <w:pPr>
              <w:spacing w:before="40" w:after="40"/>
              <w:jc w:val="left"/>
            </w:pPr>
            <w:r/>
            <w:r>
              <w:rPr>
                <w:rFonts w:ascii="宋体" w:hAnsi="宋体" w:eastAsia="宋体"/>
                <w:b w:val="0"/>
                <w:sz w:val="20"/>
              </w:rPr>
              <w:t>上升越快，风险越高</w:t>
            </w:r>
          </w:p>
        </w:tc>
      </w:tr>
    </w:tbl>
    <w:p>
      <w:pPr>
        <w:jc w:val="center"/>
      </w:pPr>
      <w:r>
        <w:t>表1  房地产行业风险评估指标体系</w:t>
      </w:r>
    </w:p>
    <w:p>
      <w:pPr>
        <w:spacing w:line="360" w:lineRule="auto" w:after="0" w:before="0"/>
      </w:pPr>
      <w:r>
        <w:rPr>
          <w:rFonts w:ascii="黑体" w:hAnsi="黑体" w:eastAsia="黑体"/>
          <w:b/>
          <w:sz w:val="24"/>
        </w:rPr>
        <w:t>（三）风险评分模型</w:t>
      </w:r>
    </w:p>
    <w:p>
      <w:pPr>
        <w:spacing w:line="360" w:lineRule="auto" w:after="0" w:before="0"/>
        <w:ind w:firstLine="420"/>
      </w:pPr>
      <w:r>
        <w:rPr>
          <w:rFonts w:ascii="宋体" w:hAnsi="宋体" w:eastAsia="宋体"/>
          <w:b w:val="0"/>
          <w:sz w:val="24"/>
        </w:rPr>
        <w:t>风险评分模型用于比较不同年份房地产行业总体风险的高低，属于金融风险管理中常见的评分卡与综合预警思路。具体做法分两步：第一步，将各指标按风险方向统一处理。例如，投资同比越低说明风险越高，因此将其转化为风险变量 r1 = -investment_yoy；待售面积同比越高说明风险越高，因此保留其正向风险含义。第二步，对各风险变量进行极差标准化，并取等权平均得到综合风险评分：</w:t>
      </w:r>
    </w:p>
    <w:p>
      <w:pPr>
        <w:spacing w:line="360" w:lineRule="auto" w:after="0" w:before="0"/>
        <w:ind w:firstLine="420"/>
        <w:jc w:val="center"/>
      </w:pPr>
      <w:r>
        <w:rPr>
          <w:rFonts w:ascii="宋体" w:hAnsi="宋体" w:eastAsia="宋体"/>
          <w:b w:val="0"/>
          <w:sz w:val="24"/>
        </w:rPr>
        <w:t>yjt = (rjt - min(rj)) / (max(rj) - min(rj))</w:t>
      </w:r>
    </w:p>
    <w:p>
      <w:pPr>
        <w:spacing w:line="360" w:lineRule="auto" w:after="0" w:before="0"/>
        <w:ind w:firstLine="420"/>
        <w:jc w:val="center"/>
      </w:pPr>
      <w:r>
        <w:rPr>
          <w:rFonts w:ascii="宋体" w:hAnsi="宋体" w:eastAsia="宋体"/>
          <w:b w:val="0"/>
          <w:sz w:val="24"/>
        </w:rPr>
        <w:t>RiskScore_t = (1/6) × Σ yjt × 100</w:t>
      </w:r>
    </w:p>
    <w:p>
      <w:pPr>
        <w:spacing w:line="360" w:lineRule="auto" w:after="0" w:before="0"/>
        <w:ind w:firstLine="420"/>
      </w:pPr>
      <w:r>
        <w:rPr>
          <w:rFonts w:ascii="宋体" w:hAnsi="宋体" w:eastAsia="宋体"/>
          <w:b w:val="0"/>
          <w:sz w:val="24"/>
        </w:rPr>
        <w:t>其中，评分区间为0—100。为便于解释，本文采用经验阈值进行分级：0—30分为低风险，30—60分为中风险，60分以上为高风险。该模型不用于估计违约概率，而用于识别行业风险所处阶段。</w:t>
      </w:r>
    </w:p>
    <w:p>
      <w:pPr>
        <w:spacing w:line="360" w:lineRule="auto" w:after="0" w:before="0"/>
      </w:pPr>
      <w:r>
        <w:rPr>
          <w:rFonts w:ascii="黑体" w:hAnsi="黑体" w:eastAsia="黑体"/>
          <w:b/>
          <w:sz w:val="24"/>
        </w:rPr>
        <w:t>（四）压力测试模型</w:t>
      </w:r>
    </w:p>
    <w:p>
      <w:pPr>
        <w:spacing w:line="360" w:lineRule="auto" w:after="0" w:before="0"/>
        <w:ind w:firstLine="420"/>
      </w:pPr>
      <w:r>
        <w:rPr>
          <w:rFonts w:ascii="宋体" w:hAnsi="宋体" w:eastAsia="宋体"/>
          <w:b w:val="0"/>
          <w:sz w:val="24"/>
        </w:rPr>
        <w:t>压力测试是金融风险管理中识别脆弱性的核心工具。本文以2025年房地产行业状态作为基准，分别设置轻度、中度和重度三种情景，对“销售面积”和“到位资金”施加负向冲击，再重新计算库存去化月数和资金覆盖率。模型设定如下：</w:t>
      </w:r>
    </w:p>
    <w:p>
      <w:pPr>
        <w:spacing w:line="360" w:lineRule="auto" w:after="0" w:before="0"/>
        <w:ind w:firstLine="420"/>
        <w:jc w:val="center"/>
      </w:pPr>
      <w:r>
        <w:rPr>
          <w:rFonts w:ascii="宋体" w:hAnsi="宋体" w:eastAsia="宋体"/>
          <w:b w:val="0"/>
          <w:sz w:val="24"/>
        </w:rPr>
        <w:t>InventoryMonths(θ) = Inventory / ([SalesArea × (1-θ)] / 12)</w:t>
      </w:r>
    </w:p>
    <w:p>
      <w:pPr>
        <w:spacing w:line="360" w:lineRule="auto" w:after="0" w:before="0"/>
        <w:ind w:firstLine="420"/>
        <w:jc w:val="center"/>
      </w:pPr>
      <w:r>
        <w:rPr>
          <w:rFonts w:ascii="宋体" w:hAnsi="宋体" w:eastAsia="宋体"/>
          <w:b w:val="0"/>
          <w:sz w:val="24"/>
        </w:rPr>
        <w:t>Coverage(λ) = [Funds × (1-λ)] / Investment</w:t>
      </w:r>
    </w:p>
    <w:p>
      <w:pPr>
        <w:spacing w:line="360" w:lineRule="auto" w:after="0" w:before="0"/>
        <w:ind w:firstLine="420"/>
      </w:pPr>
      <w:r>
        <w:rPr>
          <w:rFonts w:ascii="宋体" w:hAnsi="宋体" w:eastAsia="宋体"/>
          <w:b w:val="0"/>
          <w:sz w:val="24"/>
        </w:rPr>
        <w:t>其中，θ表示销售收缩冲击，λ表示资金回落冲击。若去化月数持续升高，说明库存消化变慢；若资金覆盖率接近或低于1，说明开发活动将面临更明显的资金缺口。</w:t>
      </w:r>
    </w:p>
    <w:p>
      <w:pPr>
        <w:spacing w:line="360" w:lineRule="auto" w:after="0" w:before="0"/>
      </w:pPr>
      <w:r>
        <w:rPr>
          <w:rFonts w:ascii="黑体" w:hAnsi="黑体" w:eastAsia="黑体"/>
          <w:b/>
          <w:sz w:val="28"/>
        </w:rPr>
        <w:t>三、模型测算结果与数据分析</w:t>
      </w:r>
    </w:p>
    <w:p>
      <w:pPr>
        <w:spacing w:line="360" w:lineRule="auto" w:after="0" w:before="0"/>
      </w:pPr>
      <w:r>
        <w:rPr>
          <w:rFonts w:ascii="黑体" w:hAnsi="黑体" w:eastAsia="黑体"/>
          <w:b/>
          <w:sz w:val="24"/>
        </w:rPr>
        <w:t>（一）开发、销售与资金的总体趋势</w:t>
      </w:r>
    </w:p>
    <w:p>
      <w:pPr>
        <w:spacing w:line="360" w:lineRule="auto" w:after="0" w:before="0"/>
        <w:ind w:firstLine="420"/>
      </w:pPr>
      <w:r>
        <w:rPr>
          <w:rFonts w:ascii="宋体" w:hAnsi="宋体" w:eastAsia="宋体"/>
          <w:b w:val="0"/>
          <w:sz w:val="24"/>
        </w:rPr>
        <w:t>从指数化结果看，房地产开发投资、新开工面积、销售面积和到位资金在2021年后均显著下行。其中，新开工面积下降最为明显，说明开发主体扩张意愿和再投资能力尚未恢复；销售面积与到位资金同步收缩，则意味着需求不足与融资收紧相互强化。</w:t>
      </w:r>
    </w:p>
    <w:p>
      <w:pPr>
        <w:jc w:val="center"/>
      </w:pPr>
      <w:r>
        <w:drawing>
          <wp:inline xmlns:a="http://schemas.openxmlformats.org/drawingml/2006/main" xmlns:pic="http://schemas.openxmlformats.org/drawingml/2006/picture">
            <wp:extent cx="5328000" cy="3190342"/>
            <wp:docPr id="1" name="Picture 1"/>
            <wp:cNvGraphicFramePr>
              <a:graphicFrameLocks noChangeAspect="1"/>
            </wp:cNvGraphicFramePr>
            <a:graphic>
              <a:graphicData uri="http://schemas.openxmlformats.org/drawingml/2006/picture">
                <pic:pic>
                  <pic:nvPicPr>
                    <pic:cNvPr id="0" name="figure_1_index_trends.png"/>
                    <pic:cNvPicPr/>
                  </pic:nvPicPr>
                  <pic:blipFill>
                    <a:blip r:embed="rId9"/>
                    <a:stretch>
                      <a:fillRect/>
                    </a:stretch>
                  </pic:blipFill>
                  <pic:spPr>
                    <a:xfrm>
                      <a:off x="0" y="0"/>
                      <a:ext cx="5328000" cy="3190342"/>
                    </a:xfrm>
                    <a:prstGeom prst="rect"/>
                  </pic:spPr>
                </pic:pic>
              </a:graphicData>
            </a:graphic>
          </wp:inline>
        </w:drawing>
      </w:r>
    </w:p>
    <w:p>
      <w:pPr>
        <w:jc w:val="center"/>
      </w:pPr>
      <w:r>
        <w:t>图1  2019—2025年房地产核心指标指数（2021=100）</w:t>
      </w:r>
    </w:p>
    <w:p>
      <w:pPr>
        <w:spacing w:line="360" w:lineRule="auto" w:after="0" w:before="0"/>
      </w:pPr>
      <w:r>
        <w:rPr>
          <w:rFonts w:ascii="黑体" w:hAnsi="黑体" w:eastAsia="黑体"/>
          <w:b/>
          <w:sz w:val="24"/>
        </w:rPr>
        <w:t>（二）风险评分模型结果</w:t>
      </w:r>
    </w:p>
    <w:p>
      <w:pPr>
        <w:spacing w:line="360" w:lineRule="auto" w:after="0" w:before="0"/>
        <w:ind w:firstLine="420"/>
      </w:pPr>
      <w:r>
        <w:rPr>
          <w:rFonts w:ascii="宋体" w:hAnsi="宋体" w:eastAsia="宋体"/>
          <w:b w:val="0"/>
          <w:sz w:val="24"/>
        </w:rPr>
        <w:t>风险评分模型显示，2019—2021年行业总体处于低风险区间，评分分别为8.74、13.32和16.79。2022年评分陡升至83.15，表明这是样本期风险最集中暴露的一年。2023年评分回落至56.23，说明急性风险有所缓和，但仍处于中风险区间。2024年评分重新升至72.38，主要反映竣工、投资与库存端压力再次加大。2025年评分为58.79，虽较2024年略有回落，但仍未回到低风险状态。</w:t>
      </w:r>
    </w:p>
    <w:p>
      <w:pPr>
        <w:jc w:val="center"/>
      </w:pPr>
      <w:r>
        <w:drawing>
          <wp:inline xmlns:a="http://schemas.openxmlformats.org/drawingml/2006/main" xmlns:pic="http://schemas.openxmlformats.org/drawingml/2006/picture">
            <wp:extent cx="5112000" cy="2945454"/>
            <wp:docPr id="2" name="Picture 2"/>
            <wp:cNvGraphicFramePr>
              <a:graphicFrameLocks noChangeAspect="1"/>
            </wp:cNvGraphicFramePr>
            <a:graphic>
              <a:graphicData uri="http://schemas.openxmlformats.org/drawingml/2006/picture">
                <pic:pic>
                  <pic:nvPicPr>
                    <pic:cNvPr id="0" name="figure_2_risk_score_model.png"/>
                    <pic:cNvPicPr/>
                  </pic:nvPicPr>
                  <pic:blipFill>
                    <a:blip r:embed="rId10"/>
                    <a:stretch>
                      <a:fillRect/>
                    </a:stretch>
                  </pic:blipFill>
                  <pic:spPr>
                    <a:xfrm>
                      <a:off x="0" y="0"/>
                      <a:ext cx="5112000" cy="2945454"/>
                    </a:xfrm>
                    <a:prstGeom prst="rect"/>
                  </pic:spPr>
                </pic:pic>
              </a:graphicData>
            </a:graphic>
          </wp:inline>
        </w:drawing>
      </w:r>
    </w:p>
    <w:p>
      <w:pPr>
        <w:jc w:val="center"/>
      </w:pPr>
      <w:r>
        <w:t>图2  2019—2025年房地产行业风险评分模型结果</w:t>
      </w:r>
    </w:p>
    <w:p>
      <w:pPr>
        <w:spacing w:line="360" w:lineRule="auto" w:after="0" w:before="0"/>
        <w:ind w:firstLine="420"/>
      </w:pPr>
      <w:r>
        <w:rPr>
          <w:rFonts w:ascii="宋体" w:hAnsi="宋体" w:eastAsia="宋体"/>
          <w:b w:val="0"/>
          <w:sz w:val="24"/>
        </w:rPr>
        <w:t>为便于观察关键年份变化，表2列示了风险评分模型的核心测算结果。</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tcPr>
          <w:p>
            <w:pPr>
              <w:spacing w:before="40" w:after="40"/>
              <w:jc w:val="center"/>
            </w:pPr>
            <w:r/>
            <w:r>
              <w:rPr>
                <w:rFonts w:ascii="宋体" w:hAnsi="宋体" w:eastAsia="宋体"/>
                <w:b/>
                <w:sz w:val="21"/>
              </w:rPr>
              <w:t>年份</w:t>
            </w:r>
          </w:p>
        </w:tc>
        <w:tc>
          <w:tcPr>
            <w:tcW w:type="dxa" w:w="1813"/>
            <w:vAlign w:val="center"/>
          </w:tcPr>
          <w:p>
            <w:pPr>
              <w:spacing w:before="40" w:after="40"/>
              <w:jc w:val="center"/>
            </w:pPr>
            <w:r/>
            <w:r>
              <w:rPr>
                <w:rFonts w:ascii="宋体" w:hAnsi="宋体" w:eastAsia="宋体"/>
                <w:b/>
                <w:sz w:val="21"/>
              </w:rPr>
              <w:t>去化月数</w:t>
            </w:r>
          </w:p>
        </w:tc>
        <w:tc>
          <w:tcPr>
            <w:tcW w:type="dxa" w:w="1813"/>
            <w:vAlign w:val="center"/>
          </w:tcPr>
          <w:p>
            <w:pPr>
              <w:spacing w:before="40" w:after="40"/>
              <w:jc w:val="center"/>
            </w:pPr>
            <w:r/>
            <w:r>
              <w:rPr>
                <w:rFonts w:ascii="宋体" w:hAnsi="宋体" w:eastAsia="宋体"/>
                <w:b/>
                <w:sz w:val="21"/>
              </w:rPr>
              <w:t>资金覆盖率</w:t>
            </w:r>
          </w:p>
        </w:tc>
        <w:tc>
          <w:tcPr>
            <w:tcW w:type="dxa" w:w="1813"/>
            <w:vAlign w:val="center"/>
          </w:tcPr>
          <w:p>
            <w:pPr>
              <w:spacing w:before="40" w:after="40"/>
              <w:jc w:val="center"/>
            </w:pPr>
            <w:r/>
            <w:r>
              <w:rPr>
                <w:rFonts w:ascii="宋体" w:hAnsi="宋体" w:eastAsia="宋体"/>
                <w:b/>
                <w:sz w:val="21"/>
              </w:rPr>
              <w:t>风险评分</w:t>
            </w:r>
          </w:p>
        </w:tc>
        <w:tc>
          <w:tcPr>
            <w:tcW w:type="dxa" w:w="1813"/>
            <w:vAlign w:val="center"/>
          </w:tcPr>
          <w:p>
            <w:pPr>
              <w:spacing w:before="40" w:after="40"/>
              <w:jc w:val="center"/>
            </w:pPr>
            <w:r/>
            <w:r>
              <w:rPr>
                <w:rFonts w:ascii="宋体" w:hAnsi="宋体" w:eastAsia="宋体"/>
                <w:b/>
                <w:sz w:val="21"/>
              </w:rPr>
              <w:t>风险等级</w:t>
            </w:r>
          </w:p>
        </w:tc>
      </w:tr>
      <w:tr>
        <w:tc>
          <w:tcPr>
            <w:tcW w:type="dxa" w:w="1813"/>
            <w:vAlign w:val="center"/>
          </w:tcPr>
          <w:p>
            <w:pPr>
              <w:spacing w:before="40" w:after="40"/>
              <w:jc w:val="center"/>
            </w:pPr>
            <w:r/>
            <w:r>
              <w:rPr>
                <w:rFonts w:ascii="宋体" w:hAnsi="宋体" w:eastAsia="宋体"/>
                <w:b w:val="0"/>
                <w:sz w:val="20"/>
              </w:rPr>
              <w:t>2019</w:t>
            </w:r>
          </w:p>
        </w:tc>
        <w:tc>
          <w:tcPr>
            <w:tcW w:type="dxa" w:w="1813"/>
            <w:vAlign w:val="center"/>
          </w:tcPr>
          <w:p>
            <w:pPr>
              <w:spacing w:before="40" w:after="40"/>
              <w:jc w:val="center"/>
            </w:pPr>
            <w:r/>
            <w:r>
              <w:rPr>
                <w:rFonts w:ascii="宋体" w:hAnsi="宋体" w:eastAsia="宋体"/>
                <w:b w:val="0"/>
                <w:sz w:val="20"/>
              </w:rPr>
              <w:t>3.48</w:t>
            </w:r>
          </w:p>
        </w:tc>
        <w:tc>
          <w:tcPr>
            <w:tcW w:type="dxa" w:w="1813"/>
            <w:vAlign w:val="center"/>
          </w:tcPr>
          <w:p>
            <w:pPr>
              <w:spacing w:before="40" w:after="40"/>
              <w:jc w:val="center"/>
            </w:pPr>
            <w:r/>
            <w:r>
              <w:rPr>
                <w:rFonts w:ascii="宋体" w:hAnsi="宋体" w:eastAsia="宋体"/>
                <w:b w:val="0"/>
                <w:sz w:val="20"/>
              </w:rPr>
              <w:t>1.35</w:t>
            </w:r>
          </w:p>
        </w:tc>
        <w:tc>
          <w:tcPr>
            <w:tcW w:type="dxa" w:w="1813"/>
            <w:vAlign w:val="center"/>
          </w:tcPr>
          <w:p>
            <w:pPr>
              <w:spacing w:before="40" w:after="40"/>
              <w:jc w:val="center"/>
            </w:pPr>
            <w:r/>
            <w:r>
              <w:rPr>
                <w:rFonts w:ascii="宋体" w:hAnsi="宋体" w:eastAsia="宋体"/>
                <w:b w:val="0"/>
                <w:sz w:val="20"/>
              </w:rPr>
              <w:t>8.74</w:t>
            </w:r>
          </w:p>
        </w:tc>
        <w:tc>
          <w:tcPr>
            <w:tcW w:type="dxa" w:w="1813"/>
            <w:vAlign w:val="center"/>
          </w:tcPr>
          <w:p>
            <w:pPr>
              <w:spacing w:before="40" w:after="40"/>
              <w:jc w:val="center"/>
            </w:pPr>
            <w:r/>
            <w:r>
              <w:rPr>
                <w:rFonts w:ascii="宋体" w:hAnsi="宋体" w:eastAsia="宋体"/>
                <w:b w:val="0"/>
                <w:sz w:val="20"/>
              </w:rPr>
              <w:t>低风险</w:t>
            </w:r>
          </w:p>
        </w:tc>
      </w:tr>
      <w:tr>
        <w:tc>
          <w:tcPr>
            <w:tcW w:type="dxa" w:w="1813"/>
            <w:vAlign w:val="center"/>
          </w:tcPr>
          <w:p>
            <w:pPr>
              <w:spacing w:before="40" w:after="40"/>
              <w:jc w:val="center"/>
            </w:pPr>
            <w:r/>
            <w:r>
              <w:rPr>
                <w:rFonts w:ascii="宋体" w:hAnsi="宋体" w:eastAsia="宋体"/>
                <w:b w:val="0"/>
                <w:sz w:val="20"/>
              </w:rPr>
              <w:t>2020</w:t>
            </w:r>
          </w:p>
        </w:tc>
        <w:tc>
          <w:tcPr>
            <w:tcW w:type="dxa" w:w="1813"/>
            <w:vAlign w:val="center"/>
          </w:tcPr>
          <w:p>
            <w:pPr>
              <w:spacing w:before="40" w:after="40"/>
              <w:jc w:val="center"/>
            </w:pPr>
            <w:r/>
            <w:r>
              <w:rPr>
                <w:rFonts w:ascii="宋体" w:hAnsi="宋体" w:eastAsia="宋体"/>
                <w:b w:val="0"/>
                <w:sz w:val="20"/>
              </w:rPr>
              <w:t>3.40</w:t>
            </w:r>
          </w:p>
        </w:tc>
        <w:tc>
          <w:tcPr>
            <w:tcW w:type="dxa" w:w="1813"/>
            <w:vAlign w:val="center"/>
          </w:tcPr>
          <w:p>
            <w:pPr>
              <w:spacing w:before="40" w:after="40"/>
              <w:jc w:val="center"/>
            </w:pPr>
            <w:r/>
            <w:r>
              <w:rPr>
                <w:rFonts w:ascii="宋体" w:hAnsi="宋体" w:eastAsia="宋体"/>
                <w:b w:val="0"/>
                <w:sz w:val="20"/>
              </w:rPr>
              <w:t>1.37</w:t>
            </w:r>
          </w:p>
        </w:tc>
        <w:tc>
          <w:tcPr>
            <w:tcW w:type="dxa" w:w="1813"/>
            <w:vAlign w:val="center"/>
          </w:tcPr>
          <w:p>
            <w:pPr>
              <w:spacing w:before="40" w:after="40"/>
              <w:jc w:val="center"/>
            </w:pPr>
            <w:r/>
            <w:r>
              <w:rPr>
                <w:rFonts w:ascii="宋体" w:hAnsi="宋体" w:eastAsia="宋体"/>
                <w:b w:val="0"/>
                <w:sz w:val="20"/>
              </w:rPr>
              <w:t>13.32</w:t>
            </w:r>
          </w:p>
        </w:tc>
        <w:tc>
          <w:tcPr>
            <w:tcW w:type="dxa" w:w="1813"/>
            <w:vAlign w:val="center"/>
          </w:tcPr>
          <w:p>
            <w:pPr>
              <w:spacing w:before="40" w:after="40"/>
              <w:jc w:val="center"/>
            </w:pPr>
            <w:r/>
            <w:r>
              <w:rPr>
                <w:rFonts w:ascii="宋体" w:hAnsi="宋体" w:eastAsia="宋体"/>
                <w:b w:val="0"/>
                <w:sz w:val="20"/>
              </w:rPr>
              <w:t>低风险</w:t>
            </w:r>
          </w:p>
        </w:tc>
      </w:tr>
      <w:tr>
        <w:tc>
          <w:tcPr>
            <w:tcW w:type="dxa" w:w="1813"/>
            <w:vAlign w:val="center"/>
          </w:tcPr>
          <w:p>
            <w:pPr>
              <w:spacing w:before="40" w:after="40"/>
              <w:jc w:val="center"/>
            </w:pPr>
            <w:r/>
            <w:r>
              <w:rPr>
                <w:rFonts w:ascii="宋体" w:hAnsi="宋体" w:eastAsia="宋体"/>
                <w:b w:val="0"/>
                <w:sz w:val="20"/>
              </w:rPr>
              <w:t>2021</w:t>
            </w:r>
          </w:p>
        </w:tc>
        <w:tc>
          <w:tcPr>
            <w:tcW w:type="dxa" w:w="1813"/>
            <w:vAlign w:val="center"/>
          </w:tcPr>
          <w:p>
            <w:pPr>
              <w:spacing w:before="40" w:after="40"/>
              <w:jc w:val="center"/>
            </w:pPr>
            <w:r/>
            <w:r>
              <w:rPr>
                <w:rFonts w:ascii="宋体" w:hAnsi="宋体" w:eastAsia="宋体"/>
                <w:b w:val="0"/>
                <w:sz w:val="20"/>
              </w:rPr>
              <w:t>3.41</w:t>
            </w:r>
          </w:p>
        </w:tc>
        <w:tc>
          <w:tcPr>
            <w:tcW w:type="dxa" w:w="1813"/>
            <w:vAlign w:val="center"/>
          </w:tcPr>
          <w:p>
            <w:pPr>
              <w:spacing w:before="40" w:after="40"/>
              <w:jc w:val="center"/>
            </w:pPr>
            <w:r/>
            <w:r>
              <w:rPr>
                <w:rFonts w:ascii="宋体" w:hAnsi="宋体" w:eastAsia="宋体"/>
                <w:b w:val="0"/>
                <w:sz w:val="20"/>
              </w:rPr>
              <w:t>1.36</w:t>
            </w:r>
          </w:p>
        </w:tc>
        <w:tc>
          <w:tcPr>
            <w:tcW w:type="dxa" w:w="1813"/>
            <w:vAlign w:val="center"/>
          </w:tcPr>
          <w:p>
            <w:pPr>
              <w:spacing w:before="40" w:after="40"/>
              <w:jc w:val="center"/>
            </w:pPr>
            <w:r/>
            <w:r>
              <w:rPr>
                <w:rFonts w:ascii="宋体" w:hAnsi="宋体" w:eastAsia="宋体"/>
                <w:b w:val="0"/>
                <w:sz w:val="20"/>
              </w:rPr>
              <w:t>16.79</w:t>
            </w:r>
          </w:p>
        </w:tc>
        <w:tc>
          <w:tcPr>
            <w:tcW w:type="dxa" w:w="1813"/>
            <w:vAlign w:val="center"/>
          </w:tcPr>
          <w:p>
            <w:pPr>
              <w:spacing w:before="40" w:after="40"/>
              <w:jc w:val="center"/>
            </w:pPr>
            <w:r/>
            <w:r>
              <w:rPr>
                <w:rFonts w:ascii="宋体" w:hAnsi="宋体" w:eastAsia="宋体"/>
                <w:b w:val="0"/>
                <w:sz w:val="20"/>
              </w:rPr>
              <w:t>低风险</w:t>
            </w:r>
          </w:p>
        </w:tc>
      </w:tr>
      <w:tr>
        <w:tc>
          <w:tcPr>
            <w:tcW w:type="dxa" w:w="1813"/>
            <w:vAlign w:val="center"/>
          </w:tcPr>
          <w:p>
            <w:pPr>
              <w:spacing w:before="40" w:after="40"/>
              <w:jc w:val="center"/>
            </w:pPr>
            <w:r/>
            <w:r>
              <w:rPr>
                <w:rFonts w:ascii="宋体" w:hAnsi="宋体" w:eastAsia="宋体"/>
                <w:b w:val="0"/>
                <w:sz w:val="20"/>
              </w:rPr>
              <w:t>2022</w:t>
            </w:r>
          </w:p>
        </w:tc>
        <w:tc>
          <w:tcPr>
            <w:tcW w:type="dxa" w:w="1813"/>
            <w:vAlign w:val="center"/>
          </w:tcPr>
          <w:p>
            <w:pPr>
              <w:spacing w:before="40" w:after="40"/>
              <w:jc w:val="center"/>
            </w:pPr>
            <w:r/>
            <w:r>
              <w:rPr>
                <w:rFonts w:ascii="宋体" w:hAnsi="宋体" w:eastAsia="宋体"/>
                <w:b w:val="0"/>
                <w:sz w:val="20"/>
              </w:rPr>
              <w:t>4.98</w:t>
            </w:r>
          </w:p>
        </w:tc>
        <w:tc>
          <w:tcPr>
            <w:tcW w:type="dxa" w:w="1813"/>
            <w:vAlign w:val="center"/>
          </w:tcPr>
          <w:p>
            <w:pPr>
              <w:spacing w:before="40" w:after="40"/>
              <w:jc w:val="center"/>
            </w:pPr>
            <w:r/>
            <w:r>
              <w:rPr>
                <w:rFonts w:ascii="宋体" w:hAnsi="宋体" w:eastAsia="宋体"/>
                <w:b w:val="0"/>
                <w:sz w:val="20"/>
              </w:rPr>
              <w:t>1.12</w:t>
            </w:r>
          </w:p>
        </w:tc>
        <w:tc>
          <w:tcPr>
            <w:tcW w:type="dxa" w:w="1813"/>
            <w:vAlign w:val="center"/>
          </w:tcPr>
          <w:p>
            <w:pPr>
              <w:spacing w:before="40" w:after="40"/>
              <w:jc w:val="center"/>
            </w:pPr>
            <w:r/>
            <w:r>
              <w:rPr>
                <w:rFonts w:ascii="宋体" w:hAnsi="宋体" w:eastAsia="宋体"/>
                <w:b w:val="0"/>
                <w:sz w:val="20"/>
              </w:rPr>
              <w:t>83.15</w:t>
            </w:r>
          </w:p>
        </w:tc>
        <w:tc>
          <w:tcPr>
            <w:tcW w:type="dxa" w:w="1813"/>
            <w:vAlign w:val="center"/>
          </w:tcPr>
          <w:p>
            <w:pPr>
              <w:spacing w:before="40" w:after="40"/>
              <w:jc w:val="center"/>
            </w:pPr>
            <w:r/>
            <w:r>
              <w:rPr>
                <w:rFonts w:ascii="宋体" w:hAnsi="宋体" w:eastAsia="宋体"/>
                <w:b w:val="0"/>
                <w:sz w:val="20"/>
              </w:rPr>
              <w:t>高风险</w:t>
            </w:r>
          </w:p>
        </w:tc>
      </w:tr>
      <w:tr>
        <w:tc>
          <w:tcPr>
            <w:tcW w:type="dxa" w:w="1813"/>
            <w:vAlign w:val="center"/>
          </w:tcPr>
          <w:p>
            <w:pPr>
              <w:spacing w:before="40" w:after="40"/>
              <w:jc w:val="center"/>
            </w:pPr>
            <w:r/>
            <w:r>
              <w:rPr>
                <w:rFonts w:ascii="宋体" w:hAnsi="宋体" w:eastAsia="宋体"/>
                <w:b w:val="0"/>
                <w:sz w:val="20"/>
              </w:rPr>
              <w:t>2023</w:t>
            </w:r>
          </w:p>
        </w:tc>
        <w:tc>
          <w:tcPr>
            <w:tcW w:type="dxa" w:w="1813"/>
            <w:vAlign w:val="center"/>
          </w:tcPr>
          <w:p>
            <w:pPr>
              <w:spacing w:before="40" w:after="40"/>
              <w:jc w:val="center"/>
            </w:pPr>
            <w:r/>
            <w:r>
              <w:rPr>
                <w:rFonts w:ascii="宋体" w:hAnsi="宋体" w:eastAsia="宋体"/>
                <w:b w:val="0"/>
                <w:sz w:val="20"/>
              </w:rPr>
              <w:t>7.23</w:t>
            </w:r>
          </w:p>
        </w:tc>
        <w:tc>
          <w:tcPr>
            <w:tcW w:type="dxa" w:w="1813"/>
            <w:vAlign w:val="center"/>
          </w:tcPr>
          <w:p>
            <w:pPr>
              <w:spacing w:before="40" w:after="40"/>
              <w:jc w:val="center"/>
            </w:pPr>
            <w:r/>
            <w:r>
              <w:rPr>
                <w:rFonts w:ascii="宋体" w:hAnsi="宋体" w:eastAsia="宋体"/>
                <w:b w:val="0"/>
                <w:sz w:val="20"/>
              </w:rPr>
              <w:t>1.15</w:t>
            </w:r>
          </w:p>
        </w:tc>
        <w:tc>
          <w:tcPr>
            <w:tcW w:type="dxa" w:w="1813"/>
            <w:vAlign w:val="center"/>
          </w:tcPr>
          <w:p>
            <w:pPr>
              <w:spacing w:before="40" w:after="40"/>
              <w:jc w:val="center"/>
            </w:pPr>
            <w:r/>
            <w:r>
              <w:rPr>
                <w:rFonts w:ascii="宋体" w:hAnsi="宋体" w:eastAsia="宋体"/>
                <w:b w:val="0"/>
                <w:sz w:val="20"/>
              </w:rPr>
              <w:t>56.23</w:t>
            </w:r>
          </w:p>
        </w:tc>
        <w:tc>
          <w:tcPr>
            <w:tcW w:type="dxa" w:w="1813"/>
            <w:vAlign w:val="center"/>
          </w:tcPr>
          <w:p>
            <w:pPr>
              <w:spacing w:before="40" w:after="40"/>
              <w:jc w:val="center"/>
            </w:pPr>
            <w:r/>
            <w:r>
              <w:rPr>
                <w:rFonts w:ascii="宋体" w:hAnsi="宋体" w:eastAsia="宋体"/>
                <w:b w:val="0"/>
                <w:sz w:val="20"/>
              </w:rPr>
              <w:t>中风险</w:t>
            </w:r>
          </w:p>
        </w:tc>
      </w:tr>
      <w:tr>
        <w:tc>
          <w:tcPr>
            <w:tcW w:type="dxa" w:w="1813"/>
            <w:vAlign w:val="center"/>
          </w:tcPr>
          <w:p>
            <w:pPr>
              <w:spacing w:before="40" w:after="40"/>
              <w:jc w:val="center"/>
            </w:pPr>
            <w:r/>
            <w:r>
              <w:rPr>
                <w:rFonts w:ascii="宋体" w:hAnsi="宋体" w:eastAsia="宋体"/>
                <w:b w:val="0"/>
                <w:sz w:val="20"/>
              </w:rPr>
              <w:t>2024</w:t>
            </w:r>
          </w:p>
        </w:tc>
        <w:tc>
          <w:tcPr>
            <w:tcW w:type="dxa" w:w="1813"/>
            <w:vAlign w:val="center"/>
          </w:tcPr>
          <w:p>
            <w:pPr>
              <w:spacing w:before="40" w:after="40"/>
              <w:jc w:val="center"/>
            </w:pPr>
            <w:r/>
            <w:r>
              <w:rPr>
                <w:rFonts w:ascii="宋体" w:hAnsi="宋体" w:eastAsia="宋体"/>
                <w:b w:val="0"/>
                <w:sz w:val="20"/>
              </w:rPr>
              <w:t>9.28</w:t>
            </w:r>
          </w:p>
        </w:tc>
        <w:tc>
          <w:tcPr>
            <w:tcW w:type="dxa" w:w="1813"/>
            <w:vAlign w:val="center"/>
          </w:tcPr>
          <w:p>
            <w:pPr>
              <w:spacing w:before="40" w:after="40"/>
              <w:jc w:val="center"/>
            </w:pPr>
            <w:r/>
            <w:r>
              <w:rPr>
                <w:rFonts w:ascii="宋体" w:hAnsi="宋体" w:eastAsia="宋体"/>
                <w:b w:val="0"/>
                <w:sz w:val="20"/>
              </w:rPr>
              <w:t>1.07</w:t>
            </w:r>
          </w:p>
        </w:tc>
        <w:tc>
          <w:tcPr>
            <w:tcW w:type="dxa" w:w="1813"/>
            <w:vAlign w:val="center"/>
          </w:tcPr>
          <w:p>
            <w:pPr>
              <w:spacing w:before="40" w:after="40"/>
              <w:jc w:val="center"/>
            </w:pPr>
            <w:r/>
            <w:r>
              <w:rPr>
                <w:rFonts w:ascii="宋体" w:hAnsi="宋体" w:eastAsia="宋体"/>
                <w:b w:val="0"/>
                <w:sz w:val="20"/>
              </w:rPr>
              <w:t>72.38</w:t>
            </w:r>
          </w:p>
        </w:tc>
        <w:tc>
          <w:tcPr>
            <w:tcW w:type="dxa" w:w="1813"/>
            <w:vAlign w:val="center"/>
          </w:tcPr>
          <w:p>
            <w:pPr>
              <w:spacing w:before="40" w:after="40"/>
              <w:jc w:val="center"/>
            </w:pPr>
            <w:r/>
            <w:r>
              <w:rPr>
                <w:rFonts w:ascii="宋体" w:hAnsi="宋体" w:eastAsia="宋体"/>
                <w:b w:val="0"/>
                <w:sz w:val="20"/>
              </w:rPr>
              <w:t>高风险</w:t>
            </w:r>
          </w:p>
        </w:tc>
      </w:tr>
      <w:tr>
        <w:tc>
          <w:tcPr>
            <w:tcW w:type="dxa" w:w="1813"/>
            <w:vAlign w:val="center"/>
          </w:tcPr>
          <w:p>
            <w:pPr>
              <w:spacing w:before="40" w:after="40"/>
              <w:jc w:val="center"/>
            </w:pPr>
            <w:r/>
            <w:r>
              <w:rPr>
                <w:rFonts w:ascii="宋体" w:hAnsi="宋体" w:eastAsia="宋体"/>
                <w:b w:val="0"/>
                <w:sz w:val="20"/>
              </w:rPr>
              <w:t>2025</w:t>
            </w:r>
          </w:p>
        </w:tc>
        <w:tc>
          <w:tcPr>
            <w:tcW w:type="dxa" w:w="1813"/>
            <w:vAlign w:val="center"/>
          </w:tcPr>
          <w:p>
            <w:pPr>
              <w:spacing w:before="40" w:after="40"/>
              <w:jc w:val="center"/>
            </w:pPr>
            <w:r/>
            <w:r>
              <w:rPr>
                <w:rFonts w:ascii="宋体" w:hAnsi="宋体" w:eastAsia="宋体"/>
                <w:b w:val="0"/>
                <w:sz w:val="20"/>
              </w:rPr>
              <w:t>10.44</w:t>
            </w:r>
          </w:p>
        </w:tc>
        <w:tc>
          <w:tcPr>
            <w:tcW w:type="dxa" w:w="1813"/>
            <w:vAlign w:val="center"/>
          </w:tcPr>
          <w:p>
            <w:pPr>
              <w:spacing w:before="40" w:after="40"/>
              <w:jc w:val="center"/>
            </w:pPr>
            <w:r/>
            <w:r>
              <w:rPr>
                <w:rFonts w:ascii="宋体" w:hAnsi="宋体" w:eastAsia="宋体"/>
                <w:b w:val="0"/>
                <w:sz w:val="20"/>
              </w:rPr>
              <w:t>1.12</w:t>
            </w:r>
          </w:p>
        </w:tc>
        <w:tc>
          <w:tcPr>
            <w:tcW w:type="dxa" w:w="1813"/>
            <w:vAlign w:val="center"/>
          </w:tcPr>
          <w:p>
            <w:pPr>
              <w:spacing w:before="40" w:after="40"/>
              <w:jc w:val="center"/>
            </w:pPr>
            <w:r/>
            <w:r>
              <w:rPr>
                <w:rFonts w:ascii="宋体" w:hAnsi="宋体" w:eastAsia="宋体"/>
                <w:b w:val="0"/>
                <w:sz w:val="20"/>
              </w:rPr>
              <w:t>58.79</w:t>
            </w:r>
          </w:p>
        </w:tc>
        <w:tc>
          <w:tcPr>
            <w:tcW w:type="dxa" w:w="1813"/>
            <w:vAlign w:val="center"/>
          </w:tcPr>
          <w:p>
            <w:pPr>
              <w:spacing w:before="40" w:after="40"/>
              <w:jc w:val="center"/>
            </w:pPr>
            <w:r/>
            <w:r>
              <w:rPr>
                <w:rFonts w:ascii="宋体" w:hAnsi="宋体" w:eastAsia="宋体"/>
                <w:b w:val="0"/>
                <w:sz w:val="20"/>
              </w:rPr>
              <w:t>中风险</w:t>
            </w:r>
          </w:p>
        </w:tc>
      </w:tr>
    </w:tbl>
    <w:p>
      <w:pPr>
        <w:jc w:val="center"/>
      </w:pPr>
      <w:r>
        <w:t>表2  年度风险评分与关键衍生指标</w:t>
      </w:r>
    </w:p>
    <w:p>
      <w:pPr>
        <w:spacing w:line="360" w:lineRule="auto" w:after="0" w:before="0"/>
      </w:pPr>
      <w:r>
        <w:rPr>
          <w:rFonts w:ascii="黑体" w:hAnsi="黑体" w:eastAsia="黑体"/>
          <w:b/>
          <w:sz w:val="24"/>
        </w:rPr>
        <w:t>（三）压力测试结果</w:t>
      </w:r>
    </w:p>
    <w:p>
      <w:pPr>
        <w:spacing w:line="360" w:lineRule="auto" w:after="0" w:before="0"/>
        <w:ind w:firstLine="420"/>
      </w:pPr>
      <w:r>
        <w:rPr>
          <w:rFonts w:ascii="宋体" w:hAnsi="宋体" w:eastAsia="宋体"/>
          <w:b w:val="0"/>
          <w:sz w:val="24"/>
        </w:rPr>
        <w:t>在2025年基准状态下，房地产行业的库存去化月数已达到10.44个月，资金覆盖率为1.12，说明虽然尚未出现全面资金缺口，但安全边际已经不高。进一步进行压力测试后可以发现：轻度压力情景下，去化月数上升至10.99个月，资金覆盖率降至1.09；中度压力情景下，去化月数升至12.28个月，资金覆盖率降至1.03；重度压力情景下，去化月数达到13.92个月，资金覆盖率跌至0.96。也就是说，只要销售和融资再遭遇一轮明显冲击，行业就会重新逼近高风险区间。</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vAlign w:val="center"/>
          </w:tcPr>
          <w:p>
            <w:pPr>
              <w:spacing w:before="40" w:after="40"/>
              <w:jc w:val="center"/>
            </w:pPr>
            <w:r/>
            <w:r>
              <w:rPr>
                <w:rFonts w:ascii="宋体" w:hAnsi="宋体" w:eastAsia="宋体"/>
                <w:b/>
                <w:sz w:val="21"/>
              </w:rPr>
              <w:t>情景</w:t>
            </w:r>
          </w:p>
        </w:tc>
        <w:tc>
          <w:tcPr>
            <w:tcW w:type="dxa" w:w="1511"/>
            <w:vAlign w:val="center"/>
          </w:tcPr>
          <w:p>
            <w:pPr>
              <w:spacing w:before="40" w:after="40"/>
              <w:jc w:val="center"/>
            </w:pPr>
            <w:r/>
            <w:r>
              <w:rPr>
                <w:rFonts w:ascii="宋体" w:hAnsi="宋体" w:eastAsia="宋体"/>
                <w:b/>
                <w:sz w:val="21"/>
              </w:rPr>
              <w:t>销售冲击</w:t>
            </w:r>
          </w:p>
        </w:tc>
        <w:tc>
          <w:tcPr>
            <w:tcW w:type="dxa" w:w="1511"/>
            <w:vAlign w:val="center"/>
          </w:tcPr>
          <w:p>
            <w:pPr>
              <w:spacing w:before="40" w:after="40"/>
              <w:jc w:val="center"/>
            </w:pPr>
            <w:r/>
            <w:r>
              <w:rPr>
                <w:rFonts w:ascii="宋体" w:hAnsi="宋体" w:eastAsia="宋体"/>
                <w:b/>
                <w:sz w:val="21"/>
              </w:rPr>
              <w:t>资金冲击</w:t>
            </w:r>
          </w:p>
        </w:tc>
        <w:tc>
          <w:tcPr>
            <w:tcW w:type="dxa" w:w="1511"/>
            <w:vAlign w:val="center"/>
          </w:tcPr>
          <w:p>
            <w:pPr>
              <w:spacing w:before="40" w:after="40"/>
              <w:jc w:val="center"/>
            </w:pPr>
            <w:r/>
            <w:r>
              <w:rPr>
                <w:rFonts w:ascii="宋体" w:hAnsi="宋体" w:eastAsia="宋体"/>
                <w:b/>
                <w:sz w:val="21"/>
              </w:rPr>
              <w:t>去化月数</w:t>
            </w:r>
          </w:p>
        </w:tc>
        <w:tc>
          <w:tcPr>
            <w:tcW w:type="dxa" w:w="1511"/>
            <w:vAlign w:val="center"/>
          </w:tcPr>
          <w:p>
            <w:pPr>
              <w:spacing w:before="40" w:after="40"/>
              <w:jc w:val="center"/>
            </w:pPr>
            <w:r/>
            <w:r>
              <w:rPr>
                <w:rFonts w:ascii="宋体" w:hAnsi="宋体" w:eastAsia="宋体"/>
                <w:b/>
                <w:sz w:val="21"/>
              </w:rPr>
              <w:t>资金覆盖率</w:t>
            </w:r>
          </w:p>
        </w:tc>
        <w:tc>
          <w:tcPr>
            <w:tcW w:type="dxa" w:w="1511"/>
            <w:vAlign w:val="center"/>
          </w:tcPr>
          <w:p>
            <w:pPr>
              <w:spacing w:before="40" w:after="40"/>
              <w:jc w:val="center"/>
            </w:pPr>
            <w:r/>
            <w:r>
              <w:rPr>
                <w:rFonts w:ascii="宋体" w:hAnsi="宋体" w:eastAsia="宋体"/>
                <w:b/>
                <w:sz w:val="21"/>
              </w:rPr>
              <w:t>风险判断</w:t>
            </w:r>
          </w:p>
        </w:tc>
      </w:tr>
      <w:tr>
        <w:tc>
          <w:tcPr>
            <w:tcW w:type="dxa" w:w="1511"/>
            <w:vAlign w:val="center"/>
          </w:tcPr>
          <w:p>
            <w:pPr>
              <w:spacing w:before="40" w:after="40"/>
              <w:jc w:val="center"/>
            </w:pPr>
            <w:r/>
            <w:r>
              <w:rPr>
                <w:rFonts w:ascii="宋体" w:hAnsi="宋体" w:eastAsia="宋体"/>
                <w:b w:val="0"/>
                <w:sz w:val="20"/>
              </w:rPr>
              <w:t>基准情景</w:t>
            </w:r>
          </w:p>
        </w:tc>
        <w:tc>
          <w:tcPr>
            <w:tcW w:type="dxa" w:w="1511"/>
            <w:vAlign w:val="center"/>
          </w:tcPr>
          <w:p>
            <w:pPr>
              <w:spacing w:before="40" w:after="40"/>
              <w:jc w:val="center"/>
            </w:pPr>
            <w:r/>
            <w:r>
              <w:rPr>
                <w:rFonts w:ascii="宋体" w:hAnsi="宋体" w:eastAsia="宋体"/>
                <w:b w:val="0"/>
                <w:sz w:val="20"/>
              </w:rPr>
              <w:t>0%</w:t>
            </w:r>
          </w:p>
        </w:tc>
        <w:tc>
          <w:tcPr>
            <w:tcW w:type="dxa" w:w="1511"/>
            <w:vAlign w:val="center"/>
          </w:tcPr>
          <w:p>
            <w:pPr>
              <w:spacing w:before="40" w:after="40"/>
              <w:jc w:val="center"/>
            </w:pPr>
            <w:r/>
            <w:r>
              <w:rPr>
                <w:rFonts w:ascii="宋体" w:hAnsi="宋体" w:eastAsia="宋体"/>
                <w:b w:val="0"/>
                <w:sz w:val="20"/>
              </w:rPr>
              <w:t>0%</w:t>
            </w:r>
          </w:p>
        </w:tc>
        <w:tc>
          <w:tcPr>
            <w:tcW w:type="dxa" w:w="1511"/>
            <w:vAlign w:val="center"/>
          </w:tcPr>
          <w:p>
            <w:pPr>
              <w:spacing w:before="40" w:after="40"/>
              <w:jc w:val="center"/>
            </w:pPr>
            <w:r/>
            <w:r>
              <w:rPr>
                <w:rFonts w:ascii="宋体" w:hAnsi="宋体" w:eastAsia="宋体"/>
                <w:b w:val="0"/>
                <w:sz w:val="20"/>
              </w:rPr>
              <w:t>10.44</w:t>
            </w:r>
          </w:p>
        </w:tc>
        <w:tc>
          <w:tcPr>
            <w:tcW w:type="dxa" w:w="1511"/>
            <w:vAlign w:val="center"/>
          </w:tcPr>
          <w:p>
            <w:pPr>
              <w:spacing w:before="40" w:after="40"/>
              <w:jc w:val="center"/>
            </w:pPr>
            <w:r/>
            <w:r>
              <w:rPr>
                <w:rFonts w:ascii="宋体" w:hAnsi="宋体" w:eastAsia="宋体"/>
                <w:b w:val="0"/>
                <w:sz w:val="20"/>
              </w:rPr>
              <w:t>1.12</w:t>
            </w:r>
          </w:p>
        </w:tc>
        <w:tc>
          <w:tcPr>
            <w:tcW w:type="dxa" w:w="1511"/>
            <w:vAlign w:val="center"/>
          </w:tcPr>
          <w:p>
            <w:pPr>
              <w:spacing w:before="40" w:after="40"/>
              <w:jc w:val="center"/>
            </w:pPr>
            <w:r/>
            <w:r>
              <w:rPr>
                <w:rFonts w:ascii="宋体" w:hAnsi="宋体" w:eastAsia="宋体"/>
                <w:b w:val="0"/>
                <w:sz w:val="20"/>
              </w:rPr>
              <w:t>中高风险</w:t>
            </w:r>
          </w:p>
        </w:tc>
      </w:tr>
      <w:tr>
        <w:tc>
          <w:tcPr>
            <w:tcW w:type="dxa" w:w="1511"/>
            <w:vAlign w:val="center"/>
          </w:tcPr>
          <w:p>
            <w:pPr>
              <w:spacing w:before="40" w:after="40"/>
              <w:jc w:val="center"/>
            </w:pPr>
            <w:r/>
            <w:r>
              <w:rPr>
                <w:rFonts w:ascii="宋体" w:hAnsi="宋体" w:eastAsia="宋体"/>
                <w:b w:val="0"/>
                <w:sz w:val="20"/>
              </w:rPr>
              <w:t>轻度压力</w:t>
            </w:r>
          </w:p>
        </w:tc>
        <w:tc>
          <w:tcPr>
            <w:tcW w:type="dxa" w:w="1511"/>
            <w:vAlign w:val="center"/>
          </w:tcPr>
          <w:p>
            <w:pPr>
              <w:spacing w:before="40" w:after="40"/>
              <w:jc w:val="center"/>
            </w:pPr>
            <w:r/>
            <w:r>
              <w:rPr>
                <w:rFonts w:ascii="宋体" w:hAnsi="宋体" w:eastAsia="宋体"/>
                <w:b w:val="0"/>
                <w:sz w:val="20"/>
              </w:rPr>
              <w:t>5%</w:t>
            </w:r>
          </w:p>
        </w:tc>
        <w:tc>
          <w:tcPr>
            <w:tcW w:type="dxa" w:w="1511"/>
            <w:vAlign w:val="center"/>
          </w:tcPr>
          <w:p>
            <w:pPr>
              <w:spacing w:before="40" w:after="40"/>
              <w:jc w:val="center"/>
            </w:pPr>
            <w:r/>
            <w:r>
              <w:rPr>
                <w:rFonts w:ascii="宋体" w:hAnsi="宋体" w:eastAsia="宋体"/>
                <w:b w:val="0"/>
                <w:sz w:val="20"/>
              </w:rPr>
              <w:t>3%</w:t>
            </w:r>
          </w:p>
        </w:tc>
        <w:tc>
          <w:tcPr>
            <w:tcW w:type="dxa" w:w="1511"/>
            <w:vAlign w:val="center"/>
          </w:tcPr>
          <w:p>
            <w:pPr>
              <w:spacing w:before="40" w:after="40"/>
              <w:jc w:val="center"/>
            </w:pPr>
            <w:r/>
            <w:r>
              <w:rPr>
                <w:rFonts w:ascii="宋体" w:hAnsi="宋体" w:eastAsia="宋体"/>
                <w:b w:val="0"/>
                <w:sz w:val="20"/>
              </w:rPr>
              <w:t>10.99</w:t>
            </w:r>
          </w:p>
        </w:tc>
        <w:tc>
          <w:tcPr>
            <w:tcW w:type="dxa" w:w="1511"/>
            <w:vAlign w:val="center"/>
          </w:tcPr>
          <w:p>
            <w:pPr>
              <w:spacing w:before="40" w:after="40"/>
              <w:jc w:val="center"/>
            </w:pPr>
            <w:r/>
            <w:r>
              <w:rPr>
                <w:rFonts w:ascii="宋体" w:hAnsi="宋体" w:eastAsia="宋体"/>
                <w:b w:val="0"/>
                <w:sz w:val="20"/>
              </w:rPr>
              <w:t>1.09</w:t>
            </w:r>
          </w:p>
        </w:tc>
        <w:tc>
          <w:tcPr>
            <w:tcW w:type="dxa" w:w="1511"/>
            <w:vAlign w:val="center"/>
          </w:tcPr>
          <w:p>
            <w:pPr>
              <w:spacing w:before="40" w:after="40"/>
              <w:jc w:val="center"/>
            </w:pPr>
            <w:r/>
            <w:r>
              <w:rPr>
                <w:rFonts w:ascii="宋体" w:hAnsi="宋体" w:eastAsia="宋体"/>
                <w:b w:val="0"/>
                <w:sz w:val="20"/>
              </w:rPr>
              <w:t>中高风险</w:t>
            </w:r>
          </w:p>
        </w:tc>
      </w:tr>
      <w:tr>
        <w:tc>
          <w:tcPr>
            <w:tcW w:type="dxa" w:w="1511"/>
            <w:vAlign w:val="center"/>
          </w:tcPr>
          <w:p>
            <w:pPr>
              <w:spacing w:before="40" w:after="40"/>
              <w:jc w:val="center"/>
            </w:pPr>
            <w:r/>
            <w:r>
              <w:rPr>
                <w:rFonts w:ascii="宋体" w:hAnsi="宋体" w:eastAsia="宋体"/>
                <w:b w:val="0"/>
                <w:sz w:val="20"/>
              </w:rPr>
              <w:t>中度压力</w:t>
            </w:r>
          </w:p>
        </w:tc>
        <w:tc>
          <w:tcPr>
            <w:tcW w:type="dxa" w:w="1511"/>
            <w:vAlign w:val="center"/>
          </w:tcPr>
          <w:p>
            <w:pPr>
              <w:spacing w:before="40" w:after="40"/>
              <w:jc w:val="center"/>
            </w:pPr>
            <w:r/>
            <w:r>
              <w:rPr>
                <w:rFonts w:ascii="宋体" w:hAnsi="宋体" w:eastAsia="宋体"/>
                <w:b w:val="0"/>
                <w:sz w:val="20"/>
              </w:rPr>
              <w:t>15%</w:t>
            </w:r>
          </w:p>
        </w:tc>
        <w:tc>
          <w:tcPr>
            <w:tcW w:type="dxa" w:w="1511"/>
            <w:vAlign w:val="center"/>
          </w:tcPr>
          <w:p>
            <w:pPr>
              <w:spacing w:before="40" w:after="40"/>
              <w:jc w:val="center"/>
            </w:pPr>
            <w:r/>
            <w:r>
              <w:rPr>
                <w:rFonts w:ascii="宋体" w:hAnsi="宋体" w:eastAsia="宋体"/>
                <w:b w:val="0"/>
                <w:sz w:val="20"/>
              </w:rPr>
              <w:t>8%</w:t>
            </w:r>
          </w:p>
        </w:tc>
        <w:tc>
          <w:tcPr>
            <w:tcW w:type="dxa" w:w="1511"/>
            <w:vAlign w:val="center"/>
          </w:tcPr>
          <w:p>
            <w:pPr>
              <w:spacing w:before="40" w:after="40"/>
              <w:jc w:val="center"/>
            </w:pPr>
            <w:r/>
            <w:r>
              <w:rPr>
                <w:rFonts w:ascii="宋体" w:hAnsi="宋体" w:eastAsia="宋体"/>
                <w:b w:val="0"/>
                <w:sz w:val="20"/>
              </w:rPr>
              <w:t>12.28</w:t>
            </w:r>
          </w:p>
        </w:tc>
        <w:tc>
          <w:tcPr>
            <w:tcW w:type="dxa" w:w="1511"/>
            <w:vAlign w:val="center"/>
          </w:tcPr>
          <w:p>
            <w:pPr>
              <w:spacing w:before="40" w:after="40"/>
              <w:jc w:val="center"/>
            </w:pPr>
            <w:r/>
            <w:r>
              <w:rPr>
                <w:rFonts w:ascii="宋体" w:hAnsi="宋体" w:eastAsia="宋体"/>
                <w:b w:val="0"/>
                <w:sz w:val="20"/>
              </w:rPr>
              <w:t>1.03</w:t>
            </w:r>
          </w:p>
        </w:tc>
        <w:tc>
          <w:tcPr>
            <w:tcW w:type="dxa" w:w="1511"/>
            <w:vAlign w:val="center"/>
          </w:tcPr>
          <w:p>
            <w:pPr>
              <w:spacing w:before="40" w:after="40"/>
              <w:jc w:val="center"/>
            </w:pPr>
            <w:r/>
            <w:r>
              <w:rPr>
                <w:rFonts w:ascii="宋体" w:hAnsi="宋体" w:eastAsia="宋体"/>
                <w:b w:val="0"/>
                <w:sz w:val="20"/>
              </w:rPr>
              <w:t>高风险</w:t>
            </w:r>
          </w:p>
        </w:tc>
      </w:tr>
      <w:tr>
        <w:tc>
          <w:tcPr>
            <w:tcW w:type="dxa" w:w="1511"/>
            <w:vAlign w:val="center"/>
          </w:tcPr>
          <w:p>
            <w:pPr>
              <w:spacing w:before="40" w:after="40"/>
              <w:jc w:val="center"/>
            </w:pPr>
            <w:r/>
            <w:r>
              <w:rPr>
                <w:rFonts w:ascii="宋体" w:hAnsi="宋体" w:eastAsia="宋体"/>
                <w:b w:val="0"/>
                <w:sz w:val="20"/>
              </w:rPr>
              <w:t>重度压力</w:t>
            </w:r>
          </w:p>
        </w:tc>
        <w:tc>
          <w:tcPr>
            <w:tcW w:type="dxa" w:w="1511"/>
            <w:vAlign w:val="center"/>
          </w:tcPr>
          <w:p>
            <w:pPr>
              <w:spacing w:before="40" w:after="40"/>
              <w:jc w:val="center"/>
            </w:pPr>
            <w:r/>
            <w:r>
              <w:rPr>
                <w:rFonts w:ascii="宋体" w:hAnsi="宋体" w:eastAsia="宋体"/>
                <w:b w:val="0"/>
                <w:sz w:val="20"/>
              </w:rPr>
              <w:t>25%</w:t>
            </w:r>
          </w:p>
        </w:tc>
        <w:tc>
          <w:tcPr>
            <w:tcW w:type="dxa" w:w="1511"/>
            <w:vAlign w:val="center"/>
          </w:tcPr>
          <w:p>
            <w:pPr>
              <w:spacing w:before="40" w:after="40"/>
              <w:jc w:val="center"/>
            </w:pPr>
            <w:r/>
            <w:r>
              <w:rPr>
                <w:rFonts w:ascii="宋体" w:hAnsi="宋体" w:eastAsia="宋体"/>
                <w:b w:val="0"/>
                <w:sz w:val="20"/>
              </w:rPr>
              <w:t>15%</w:t>
            </w:r>
          </w:p>
        </w:tc>
        <w:tc>
          <w:tcPr>
            <w:tcW w:type="dxa" w:w="1511"/>
            <w:vAlign w:val="center"/>
          </w:tcPr>
          <w:p>
            <w:pPr>
              <w:spacing w:before="40" w:after="40"/>
              <w:jc w:val="center"/>
            </w:pPr>
            <w:r/>
            <w:r>
              <w:rPr>
                <w:rFonts w:ascii="宋体" w:hAnsi="宋体" w:eastAsia="宋体"/>
                <w:b w:val="0"/>
                <w:sz w:val="20"/>
              </w:rPr>
              <w:t>13.92</w:t>
            </w:r>
          </w:p>
        </w:tc>
        <w:tc>
          <w:tcPr>
            <w:tcW w:type="dxa" w:w="1511"/>
            <w:vAlign w:val="center"/>
          </w:tcPr>
          <w:p>
            <w:pPr>
              <w:spacing w:before="40" w:after="40"/>
              <w:jc w:val="center"/>
            </w:pPr>
            <w:r/>
            <w:r>
              <w:rPr>
                <w:rFonts w:ascii="宋体" w:hAnsi="宋体" w:eastAsia="宋体"/>
                <w:b w:val="0"/>
                <w:sz w:val="20"/>
              </w:rPr>
              <w:t>0.96</w:t>
            </w:r>
          </w:p>
        </w:tc>
        <w:tc>
          <w:tcPr>
            <w:tcW w:type="dxa" w:w="1511"/>
            <w:vAlign w:val="center"/>
          </w:tcPr>
          <w:p>
            <w:pPr>
              <w:spacing w:before="40" w:after="40"/>
              <w:jc w:val="center"/>
            </w:pPr>
            <w:r/>
            <w:r>
              <w:rPr>
                <w:rFonts w:ascii="宋体" w:hAnsi="宋体" w:eastAsia="宋体"/>
                <w:b w:val="0"/>
                <w:sz w:val="20"/>
              </w:rPr>
              <w:t>高风险</w:t>
            </w:r>
          </w:p>
        </w:tc>
      </w:tr>
    </w:tbl>
    <w:p>
      <w:pPr>
        <w:jc w:val="center"/>
      </w:pPr>
      <w:r>
        <w:t>表3  基于2025年基准状态的压力测试结果</w:t>
      </w:r>
    </w:p>
    <w:p>
      <w:pPr>
        <w:jc w:val="center"/>
      </w:pPr>
      <w:r>
        <w:drawing>
          <wp:inline xmlns:a="http://schemas.openxmlformats.org/drawingml/2006/main" xmlns:pic="http://schemas.openxmlformats.org/drawingml/2006/picture">
            <wp:extent cx="5220000" cy="3091045"/>
            <wp:docPr id="3" name="Picture 3"/>
            <wp:cNvGraphicFramePr>
              <a:graphicFrameLocks noChangeAspect="1"/>
            </wp:cNvGraphicFramePr>
            <a:graphic>
              <a:graphicData uri="http://schemas.openxmlformats.org/drawingml/2006/picture">
                <pic:pic>
                  <pic:nvPicPr>
                    <pic:cNvPr id="0" name="figure_3_stress_test.png"/>
                    <pic:cNvPicPr/>
                  </pic:nvPicPr>
                  <pic:blipFill>
                    <a:blip r:embed="rId11"/>
                    <a:stretch>
                      <a:fillRect/>
                    </a:stretch>
                  </pic:blipFill>
                  <pic:spPr>
                    <a:xfrm>
                      <a:off x="0" y="0"/>
                      <a:ext cx="5220000" cy="3091045"/>
                    </a:xfrm>
                    <a:prstGeom prst="rect"/>
                  </pic:spPr>
                </pic:pic>
              </a:graphicData>
            </a:graphic>
          </wp:inline>
        </w:drawing>
      </w:r>
    </w:p>
    <w:p>
      <w:pPr>
        <w:jc w:val="center"/>
      </w:pPr>
      <w:r>
        <w:t>图3  2025年基准下的房地产压力测试结果</w:t>
      </w:r>
    </w:p>
    <w:p>
      <w:pPr>
        <w:spacing w:line="360" w:lineRule="auto" w:after="0" w:before="0"/>
      </w:pPr>
      <w:r>
        <w:rPr>
          <w:rFonts w:ascii="黑体" w:hAnsi="黑体" w:eastAsia="黑体"/>
          <w:b/>
          <w:sz w:val="24"/>
        </w:rPr>
        <w:t>（四）2026年一季度最新数据更新</w:t>
      </w:r>
    </w:p>
    <w:p>
      <w:pPr>
        <w:spacing w:line="360" w:lineRule="auto" w:after="0" w:before="0"/>
        <w:ind w:firstLine="420"/>
      </w:pPr>
      <w:r>
        <w:rPr>
          <w:rFonts w:ascii="宋体" w:hAnsi="宋体" w:eastAsia="宋体"/>
          <w:b w:val="0"/>
          <w:sz w:val="24"/>
        </w:rPr>
        <w:t>国家统计局最新数据显示，2026年1—3月份全国房地产开发投资同比下降11.2%，新开工面积下降20.3%，竣工面积下降25.0%，销售面积下降10.4%，销售额下降16.7%，到位资金下降17.3%，待售面积同比下降0.1%。这说明需求端虽有边际改善，但投资、开工和融资端仍明显偏弱，库存也没有出现实质性出清。换言之，模型结论并未被最新数据推翻。</w:t>
      </w:r>
    </w:p>
    <w:p>
      <w:pPr>
        <w:jc w:val="center"/>
      </w:pPr>
      <w:r>
        <w:drawing>
          <wp:inline xmlns:a="http://schemas.openxmlformats.org/drawingml/2006/main" xmlns:pic="http://schemas.openxmlformats.org/drawingml/2006/picture">
            <wp:extent cx="5112000" cy="3148049"/>
            <wp:docPr id="4" name="Picture 4"/>
            <wp:cNvGraphicFramePr>
              <a:graphicFrameLocks noChangeAspect="1"/>
            </wp:cNvGraphicFramePr>
            <a:graphic>
              <a:graphicData uri="http://schemas.openxmlformats.org/drawingml/2006/picture">
                <pic:pic>
                  <pic:nvPicPr>
                    <pic:cNvPr id="0" name="figure_4_latest_q1.png"/>
                    <pic:cNvPicPr/>
                  </pic:nvPicPr>
                  <pic:blipFill>
                    <a:blip r:embed="rId12"/>
                    <a:stretch>
                      <a:fillRect/>
                    </a:stretch>
                  </pic:blipFill>
                  <pic:spPr>
                    <a:xfrm>
                      <a:off x="0" y="0"/>
                      <a:ext cx="5112000" cy="3148049"/>
                    </a:xfrm>
                    <a:prstGeom prst="rect"/>
                  </pic:spPr>
                </pic:pic>
              </a:graphicData>
            </a:graphic>
          </wp:inline>
        </w:drawing>
      </w:r>
    </w:p>
    <w:p>
      <w:pPr>
        <w:jc w:val="center"/>
      </w:pPr>
      <w:r>
        <w:t>图4  2026年1—3月份房地产市场最新变化</w:t>
      </w:r>
    </w:p>
    <w:p>
      <w:pPr>
        <w:spacing w:line="360" w:lineRule="auto" w:after="0" w:before="0"/>
      </w:pPr>
      <w:r>
        <w:rPr>
          <w:rFonts w:ascii="黑体" w:hAnsi="黑体" w:eastAsia="黑体"/>
          <w:b/>
          <w:sz w:val="28"/>
        </w:rPr>
        <w:t>四、金融风险管理含义</w:t>
      </w:r>
    </w:p>
    <w:p>
      <w:pPr>
        <w:spacing w:line="360" w:lineRule="auto" w:after="0" w:before="0"/>
        <w:ind w:firstLine="420"/>
      </w:pPr>
      <w:r>
        <w:rPr>
          <w:rFonts w:ascii="宋体" w:hAnsi="宋体" w:eastAsia="宋体"/>
          <w:b w:val="0"/>
          <w:sz w:val="24"/>
        </w:rPr>
        <w:t>第一，从风险识别角度看，房地产行业已经渡过最剧烈的急性冲击阶段，但并未进入稳定低风险区间。风险评分模型显示，2022年以后行业风险水平只是从极高位回落，并没有恢复到2019—2021年的状态。</w:t>
      </w:r>
    </w:p>
    <w:p>
      <w:pPr>
        <w:spacing w:line="360" w:lineRule="auto" w:after="0" w:before="0"/>
        <w:ind w:firstLine="420"/>
      </w:pPr>
      <w:r>
        <w:rPr>
          <w:rFonts w:ascii="宋体" w:hAnsi="宋体" w:eastAsia="宋体"/>
          <w:b w:val="0"/>
          <w:sz w:val="24"/>
        </w:rPr>
        <w:t>第二，从风险监测角度看，单独观察销售或竣工等局部改善是不够的，必须同时关注投资、资金来源、库存去化和交付能力之间的联动。压力测试表明，当前行业仍然缺乏足够安全边际，这意味着一旦需求再次转弱或融资继续收缩，风险可能重新放大。</w:t>
      </w:r>
    </w:p>
    <w:p>
      <w:pPr>
        <w:spacing w:line="360" w:lineRule="auto" w:after="0" w:before="0"/>
        <w:ind w:firstLine="420"/>
      </w:pPr>
      <w:r>
        <w:rPr>
          <w:rFonts w:ascii="宋体" w:hAnsi="宋体" w:eastAsia="宋体"/>
          <w:b w:val="0"/>
          <w:sz w:val="24"/>
        </w:rPr>
        <w:t>第三，从风险处置角度看，政策重点应从“处置单一违约事件”进一步转向“修复行业资产负债表”。具体而言，一方面要继续推进保交楼、库存去化和优质主体融资支持，避免尾部风险集中暴露；另一方面要建立更高频的动态监测体系，将风险评分和压力测试结合使用，提高前瞻性预警能力。</w:t>
      </w:r>
    </w:p>
    <w:p>
      <w:pPr>
        <w:spacing w:line="360" w:lineRule="auto" w:after="0" w:before="0"/>
      </w:pPr>
      <w:r>
        <w:rPr>
          <w:rFonts w:ascii="黑体" w:hAnsi="黑体" w:eastAsia="黑体"/>
          <w:b/>
          <w:sz w:val="28"/>
        </w:rPr>
        <w:t>五、结论</w:t>
      </w:r>
    </w:p>
    <w:p>
      <w:pPr>
        <w:spacing w:line="360" w:lineRule="auto" w:after="0" w:before="0"/>
        <w:ind w:firstLine="420"/>
      </w:pPr>
      <w:r>
        <w:rPr>
          <w:rFonts w:ascii="宋体" w:hAnsi="宋体" w:eastAsia="宋体"/>
          <w:b w:val="0"/>
          <w:sz w:val="24"/>
        </w:rPr>
        <w:t>本文基于国家统计局2019—2025年房地产年度数据和2026年一季度最新数据，运用风险评分模型与压力测试模型，对“房地产行业风险释放完了吗”这一问题进行了课程论文层面的实证评估。研究结论如下：</w:t>
      </w:r>
    </w:p>
    <w:p>
      <w:pPr>
        <w:spacing w:line="360" w:lineRule="auto" w:after="0" w:before="0"/>
        <w:ind w:firstLine="420"/>
      </w:pPr>
      <w:r>
        <w:rPr>
          <w:rFonts w:ascii="宋体" w:hAnsi="宋体" w:eastAsia="宋体"/>
          <w:b w:val="0"/>
          <w:sz w:val="24"/>
        </w:rPr>
        <w:t>（1）2019—2021年房地产行业总体处于低风险状态，2022年风险集中暴露并达到样本期峰值。</w:t>
      </w:r>
    </w:p>
    <w:p>
      <w:pPr>
        <w:spacing w:line="360" w:lineRule="auto" w:after="0" w:before="0"/>
        <w:ind w:firstLine="420"/>
      </w:pPr>
      <w:r>
        <w:rPr>
          <w:rFonts w:ascii="宋体" w:hAnsi="宋体" w:eastAsia="宋体"/>
          <w:b w:val="0"/>
          <w:sz w:val="24"/>
        </w:rPr>
        <w:t>（2）2023年风险有所回落，但2024年再次显著抬升，说明行业修复并不稳定。</w:t>
      </w:r>
    </w:p>
    <w:p>
      <w:pPr>
        <w:spacing w:line="360" w:lineRule="auto" w:after="0" w:before="0"/>
        <w:ind w:firstLine="420"/>
      </w:pPr>
      <w:r>
        <w:rPr>
          <w:rFonts w:ascii="宋体" w:hAnsi="宋体" w:eastAsia="宋体"/>
          <w:b w:val="0"/>
          <w:sz w:val="24"/>
        </w:rPr>
        <w:t>（3）2025年基准状态下库存去化月数已超过10个月，资金覆盖率仅略高于1，安全边际偏弱。</w:t>
      </w:r>
    </w:p>
    <w:p>
      <w:pPr>
        <w:spacing w:line="360" w:lineRule="auto" w:after="0" w:before="0"/>
        <w:ind w:firstLine="420"/>
      </w:pPr>
      <w:r>
        <w:rPr>
          <w:rFonts w:ascii="宋体" w:hAnsi="宋体" w:eastAsia="宋体"/>
          <w:b w:val="0"/>
          <w:sz w:val="24"/>
        </w:rPr>
        <w:t>（4）在中度与重度压力情景下，库存去化压力明显恶化，资金覆盖率接近或跌破1，表明行业仍具有较强脆弱性。</w:t>
      </w:r>
    </w:p>
    <w:p>
      <w:pPr>
        <w:spacing w:line="360" w:lineRule="auto" w:after="0" w:before="0"/>
        <w:ind w:firstLine="420"/>
      </w:pPr>
      <w:r>
        <w:rPr>
          <w:rFonts w:ascii="宋体" w:hAnsi="宋体" w:eastAsia="宋体"/>
          <w:b w:val="0"/>
          <w:sz w:val="24"/>
        </w:rPr>
        <w:t>（5）2026年一季度最新数据仍显示投资、开工、销售和资金来源普遍为负增长，因此房地产行业风险尚未“释放完”，而是处于慢性修复阶段。</w:t>
      </w:r>
    </w:p>
    <w:p>
      <w:pPr>
        <w:spacing w:line="360" w:lineRule="auto" w:after="0" w:before="0"/>
        <w:ind w:firstLine="420"/>
      </w:pPr>
      <w:r>
        <w:rPr>
          <w:rFonts w:ascii="宋体" w:hAnsi="宋体" w:eastAsia="宋体"/>
          <w:b w:val="0"/>
          <w:sz w:val="24"/>
        </w:rPr>
        <w:t>总体而言，这一选题若放在金融风险管理课程框架下，关键不在于判断“风险是否完全消失”，而在于识别风险形态是否发生转化。本文的模型测算表明，房地产行业当前的主要风险已由急性流动性危机转向库存高位、融资偏弱和资产负债表修复缓慢所构成的慢性风险。</w:t>
      </w:r>
    </w:p>
    <w:p>
      <w:pPr>
        <w:spacing w:line="360" w:lineRule="auto" w:after="0" w:before="0"/>
      </w:pPr>
      <w:r>
        <w:rPr>
          <w:rFonts w:ascii="黑体" w:hAnsi="黑体" w:eastAsia="黑体"/>
          <w:b/>
          <w:sz w:val="28"/>
        </w:rPr>
        <w:t>参考文献（数据等）</w:t>
      </w:r>
    </w:p>
    <w:p>
      <w:pPr>
        <w:spacing w:line="360" w:lineRule="auto" w:after="0" w:before="0"/>
      </w:pPr>
      <w:r>
        <w:rPr>
          <w:rFonts w:ascii="宋体" w:hAnsi="宋体" w:eastAsia="宋体"/>
          <w:sz w:val="24"/>
        </w:rPr>
        <w:t>[1] 国家统计局：《中华人民共和国2019年国民经济和社会发展统计公报》，2020年2月28日。</w:t>
      </w:r>
    </w:p>
    <w:p>
      <w:pPr>
        <w:spacing w:line="360" w:lineRule="auto" w:after="0" w:before="0"/>
      </w:pPr>
      <w:r>
        <w:rPr>
          <w:rFonts w:ascii="宋体" w:hAnsi="宋体" w:eastAsia="宋体"/>
          <w:sz w:val="24"/>
        </w:rPr>
        <w:t>[2] 国家统计局：《中华人民共和国2020年国民经济和社会发展统计公报》，2021年2月28日。</w:t>
      </w:r>
    </w:p>
    <w:p>
      <w:pPr>
        <w:spacing w:line="360" w:lineRule="auto" w:after="0" w:before="0"/>
      </w:pPr>
      <w:r>
        <w:rPr>
          <w:rFonts w:ascii="宋体" w:hAnsi="宋体" w:eastAsia="宋体"/>
          <w:sz w:val="24"/>
        </w:rPr>
        <w:t>[3] 国家统计局：《中华人民共和国2021年国民经济和社会发展统计公报》，2022年2月28日。</w:t>
      </w:r>
    </w:p>
    <w:p>
      <w:pPr>
        <w:spacing w:line="360" w:lineRule="auto" w:after="0" w:before="0"/>
      </w:pPr>
      <w:r>
        <w:rPr>
          <w:rFonts w:ascii="宋体" w:hAnsi="宋体" w:eastAsia="宋体"/>
          <w:sz w:val="24"/>
        </w:rPr>
        <w:t>[4] 国家统计局：《中华人民共和国2022年国民经济和社会发展统计公报》，2023年2月28日。</w:t>
      </w:r>
    </w:p>
    <w:p>
      <w:pPr>
        <w:spacing w:line="360" w:lineRule="auto" w:after="0" w:before="0"/>
      </w:pPr>
      <w:r>
        <w:rPr>
          <w:rFonts w:ascii="宋体" w:hAnsi="宋体" w:eastAsia="宋体"/>
          <w:sz w:val="24"/>
        </w:rPr>
        <w:t>[5] 国家统计局：《中华人民共和国2023年国民经济和社会发展统计公报》，2024年2月29日。</w:t>
      </w:r>
    </w:p>
    <w:p>
      <w:pPr>
        <w:spacing w:line="360" w:lineRule="auto" w:after="0" w:before="0"/>
      </w:pPr>
      <w:r>
        <w:rPr>
          <w:rFonts w:ascii="宋体" w:hAnsi="宋体" w:eastAsia="宋体"/>
          <w:sz w:val="24"/>
        </w:rPr>
        <w:t>[6] 国家统计局：《中华人民共和国2024年国民经济和社会发展统计公报》，2025年2月28日。</w:t>
      </w:r>
    </w:p>
    <w:p>
      <w:pPr>
        <w:spacing w:line="360" w:lineRule="auto" w:after="0" w:before="0"/>
      </w:pPr>
      <w:r>
        <w:rPr>
          <w:rFonts w:ascii="宋体" w:hAnsi="宋体" w:eastAsia="宋体"/>
          <w:sz w:val="24"/>
        </w:rPr>
        <w:t>[7] 国家统计局：《中华人民共和国2025年国民经济和社会发展统计公报》，2026年2月28日。</w:t>
      </w:r>
    </w:p>
    <w:p>
      <w:pPr>
        <w:spacing w:line="360" w:lineRule="auto" w:after="0" w:before="0"/>
      </w:pPr>
      <w:r>
        <w:rPr>
          <w:rFonts w:ascii="宋体" w:hAnsi="宋体" w:eastAsia="宋体"/>
          <w:sz w:val="24"/>
        </w:rPr>
        <w:t>[8] 国家统计局：《2026年1—3月份全国房地产市场基本情况》，2026年4月16日。</w:t>
      </w:r>
    </w:p>
    <w:p>
      <w:pPr>
        <w:spacing w:line="360" w:lineRule="auto" w:after="0" w:before="0"/>
      </w:pPr>
      <w:r>
        <w:rPr>
          <w:rFonts w:ascii="宋体" w:hAnsi="宋体" w:eastAsia="宋体"/>
          <w:sz w:val="24"/>
        </w:rPr>
        <w:t>[9] Basel Committee on Banking Supervision. Principles for sound stress testing practices and supervision. 2009.</w:t>
      </w:r>
    </w:p>
    <w:p>
      <w:pPr>
        <w:spacing w:line="360" w:lineRule="auto" w:after="0" w:before="0"/>
      </w:pPr>
      <w:r>
        <w:rPr>
          <w:rFonts w:ascii="宋体" w:hAnsi="宋体" w:eastAsia="宋体"/>
          <w:sz w:val="24"/>
        </w:rPr>
        <w:t>[10] Hull, John C. Risk Management and Financial Institutions. 5th ed. Wiley, 2018.</w:t>
      </w:r>
    </w:p>
    <w:p>
      <w:pPr>
        <w:spacing w:line="360" w:lineRule="auto" w:after="0" w:before="0"/>
      </w:pPr>
      <w:r>
        <w:rPr>
          <w:rFonts w:ascii="宋体" w:hAnsi="宋体" w:eastAsia="宋体"/>
          <w:sz w:val="24"/>
        </w:rPr>
        <w:t>[11] Minsky, H. P. Stabilizing an Unstable Economy. Yale University Press, 1986.</w:t>
      </w:r>
    </w:p>
    <w:p>
      <w:pPr>
        <w:spacing w:line="360" w:lineRule="auto" w:after="0" w:before="0"/>
      </w:pPr>
      <w:r>
        <w:rPr>
          <w:rFonts w:ascii="宋体" w:hAnsi="宋体" w:eastAsia="宋体"/>
          <w:sz w:val="24"/>
        </w:rPr>
        <w:t>[12] Koo, Richard C. Balance Sheet Recession: Japan’s Struggle with Uncharted Economics and Its Global Implications. Wiley, 2003.</w:t>
      </w:r>
    </w:p>
    <w:sectPr w:rsidR="00FC693F" w:rsidRPr="0006063C" w:rsidSect="00034616">
      <w:pgSz w:w="12240" w:h="15840"/>
      <w:pgMar w:top="1440" w:right="147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