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2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8139401118c9b250a1723e0e3310dc34efa8222"/>
    <w:p>
      <w:pPr>
        <w:pStyle w:val="Heading1"/>
      </w:pPr>
      <w:r>
        <w:t xml:space="preserve">Pooled Covariance PCA (P-COV) for Distributed/Federated Learning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Pooled Covariance PCA (P-COV) is a distributed principal component analysis method that enables multiple data holders (e.g., hospitals, institutions) to collaboratively compute a global PCA</w:t>
      </w:r>
      <w:r>
        <w:t xml:space="preserve"> </w:t>
      </w:r>
      <w:r>
        <w:rPr>
          <w:b/>
          <w:bCs/>
        </w:rPr>
        <w:t xml:space="preserve">without sharing raw data</w:t>
      </w:r>
      <w:r>
        <w:t xml:space="preserve">. Instead, each participant only shares summary statistics (mean, covariance, and sample count), yet the result is mathematically identical to performing PCA on the combined dataset.</w:t>
      </w:r>
    </w:p>
    <w:p>
      <w:pPr>
        <w:pStyle w:val="BodyText"/>
      </w:pPr>
      <w:r>
        <w:t xml:space="preserve">This document describes the P-COV algorithm, its mathematical foundations, and implementation details.</w:t>
      </w:r>
    </w:p>
    <w:p>
      <w:r>
        <w:pict>
          <v:rect style="width:0;height:1.5pt" o:hralign="center" o:hrstd="t" o:hr="t"/>
        </w:pict>
      </w:r>
    </w:p>
    <w:bookmarkEnd w:id="9"/>
    <w:bookmarkStart w:id="13" w:name="problem-setting"/>
    <w:p>
      <w:pPr>
        <w:pStyle w:val="Heading2"/>
      </w:pPr>
      <w:r>
        <w:t xml:space="preserve">2. Problem Setting</w:t>
      </w:r>
    </w:p>
    <w:bookmarkStart w:id="10" w:name="scenario"/>
    <w:p>
      <w:pPr>
        <w:pStyle w:val="Heading3"/>
      </w:pPr>
      <w:r>
        <w:t xml:space="preserve">2.1 Scenario</w:t>
      </w:r>
    </w:p>
    <w:p>
      <w:pPr>
        <w:pStyle w:val="FirstParagraph"/>
      </w:pPr>
      <w:r>
        <w:t xml:space="preserve">Consider K data holders (clients), each possessing a local dataset:</w:t>
      </w:r>
    </w:p>
    <w:p>
      <w:pPr>
        <w:pStyle w:val="Compact"/>
        <w:numPr>
          <w:ilvl w:val="0"/>
          <w:numId w:val="1001"/>
        </w:numPr>
      </w:pPr>
      <w:r>
        <w:t xml:space="preserve">Client 1:</w:t>
      </w:r>
      <w:r>
        <w:t xml:space="preserve"> </w:t>
      </w:r>
      <w:r>
        <w:rPr>
          <w:b/>
          <w:bCs/>
        </w:rPr>
        <w:t xml:space="preserve">X₁</w:t>
      </w:r>
      <w:r>
        <w:t xml:space="preserve"> </w:t>
      </w:r>
      <w:r>
        <w:t xml:space="preserve">∈ ℝⁿ¹ˣᵈ (n₁ samples, d features)</w:t>
      </w:r>
    </w:p>
    <w:p>
      <w:pPr>
        <w:pStyle w:val="Compact"/>
        <w:numPr>
          <w:ilvl w:val="0"/>
          <w:numId w:val="1001"/>
        </w:numPr>
      </w:pPr>
      <w:r>
        <w:t xml:space="preserve">Client 2:</w:t>
      </w:r>
      <w:r>
        <w:t xml:space="preserve"> </w:t>
      </w:r>
      <w:r>
        <w:rPr>
          <w:b/>
          <w:bCs/>
        </w:rPr>
        <w:t xml:space="preserve">X₂</w:t>
      </w:r>
      <w:r>
        <w:t xml:space="preserve"> </w:t>
      </w:r>
      <w:r>
        <w:t xml:space="preserve">∈ ℝⁿ²ˣᵈ (n₂ samples, d features)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p>
      <w:pPr>
        <w:pStyle w:val="Compact"/>
        <w:numPr>
          <w:ilvl w:val="0"/>
          <w:numId w:val="1001"/>
        </w:numPr>
      </w:pPr>
      <w:r>
        <w:t xml:space="preserve">Client K:</w:t>
      </w:r>
      <w:r>
        <w:t xml:space="preserve"> </w:t>
      </w:r>
      <w:r>
        <w:rPr>
          <w:b/>
          <w:bCs/>
        </w:rPr>
        <w:t xml:space="preserve">Xₖ</w:t>
      </w:r>
      <w:r>
        <w:t xml:space="preserve"> </w:t>
      </w:r>
      <w:r>
        <w:t xml:space="preserve">∈ ℝⁿᵏˣᵈ (nₖ samples, d features)</w:t>
      </w:r>
    </w:p>
    <w:bookmarkEnd w:id="10"/>
    <w:bookmarkStart w:id="11" w:name="goal"/>
    <w:p>
      <w:pPr>
        <w:pStyle w:val="Heading3"/>
      </w:pPr>
      <w:r>
        <w:t xml:space="preserve">2.2 Goal</w:t>
      </w:r>
    </w:p>
    <w:p>
      <w:pPr>
        <w:pStyle w:val="FirstParagraph"/>
      </w:pPr>
      <w:r>
        <w:t xml:space="preserve">Compute the principal components of the combined dataset:</w:t>
      </w:r>
    </w:p>
    <w:p>
      <w:pPr>
        <w:pStyle w:val="BodyText"/>
      </w:pPr>
      <w:r>
        <w:rPr>
          <w:b/>
          <w:bCs/>
        </w:rPr>
        <w:t xml:space="preserve">X</w:t>
      </w:r>
      <w:r>
        <w:t xml:space="preserve"> </w:t>
      </w:r>
      <w:r>
        <w:t xml:space="preserve">= [X₁; X₂; …; Xₖ] ∈ ℝᴺˣᵈ</w:t>
      </w:r>
    </w:p>
    <w:p>
      <w:pPr>
        <w:pStyle w:val="BodyText"/>
      </w:pPr>
      <w:r>
        <w:t xml:space="preserve">where N = n₁ + n₂ + … + nₖ,</w:t>
      </w:r>
      <w:r>
        <w:t xml:space="preserve"> </w:t>
      </w:r>
      <w:r>
        <w:rPr>
          <w:b/>
          <w:bCs/>
        </w:rPr>
        <w:t xml:space="preserve">without centralizing the raw data</w:t>
      </w:r>
      <w:r>
        <w:t xml:space="preserve">.</w:t>
      </w:r>
    </w:p>
    <w:bookmarkEnd w:id="11"/>
    <w:bookmarkStart w:id="12" w:name="constraints"/>
    <w:p>
      <w:pPr>
        <w:pStyle w:val="Heading3"/>
      </w:pPr>
      <w:r>
        <w:t xml:space="preserve">2.3 Constraints</w:t>
      </w:r>
    </w:p>
    <w:p>
      <w:pPr>
        <w:pStyle w:val="Compact"/>
        <w:numPr>
          <w:ilvl w:val="0"/>
          <w:numId w:val="1002"/>
        </w:numPr>
      </w:pPr>
      <w:r>
        <w:t xml:space="preserve">Raw data</w:t>
      </w:r>
      <w:r>
        <w:t xml:space="preserve"> </w:t>
      </w:r>
      <w:r>
        <w:rPr>
          <w:b/>
          <w:bCs/>
        </w:rPr>
        <w:t xml:space="preserve">Xₖ</w:t>
      </w:r>
      <w:r>
        <w:t xml:space="preserve"> </w:t>
      </w:r>
      <w:r>
        <w:t xml:space="preserve">cannot leave client k (privacy requirement)</w:t>
      </w:r>
    </w:p>
    <w:p>
      <w:pPr>
        <w:pStyle w:val="Compact"/>
        <w:numPr>
          <w:ilvl w:val="0"/>
          <w:numId w:val="1002"/>
        </w:numPr>
      </w:pPr>
      <w:r>
        <w:t xml:space="preserve">Only aggregated statistics may be shared</w:t>
      </w:r>
    </w:p>
    <w:p>
      <w:pPr>
        <w:pStyle w:val="Compact"/>
        <w:numPr>
          <w:ilvl w:val="0"/>
          <w:numId w:val="1002"/>
        </w:numPr>
      </w:pPr>
      <w:r>
        <w:t xml:space="preserve">The result must be identical to centralized PCA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mathematical-foundation"/>
    <w:p>
      <w:pPr>
        <w:pStyle w:val="Heading2"/>
      </w:pPr>
      <w:r>
        <w:t xml:space="preserve">3. Mathematical Foundation</w:t>
      </w:r>
    </w:p>
    <w:bookmarkStart w:id="14" w:name="centralized-pca-reference"/>
    <w:p>
      <w:pPr>
        <w:pStyle w:val="Heading3"/>
      </w:pPr>
      <w:r>
        <w:t xml:space="preserve">3.1 Centralized PCA (Reference)</w:t>
      </w:r>
    </w:p>
    <w:p>
      <w:pPr>
        <w:pStyle w:val="FirstParagraph"/>
      </w:pPr>
      <w:r>
        <w:t xml:space="preserve">In standard PCA, given data matrix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∈ ℝᴺˣᵈ:</w:t>
      </w:r>
    </w:p>
    <w:p>
      <w:pPr>
        <w:numPr>
          <w:ilvl w:val="0"/>
          <w:numId w:val="1003"/>
        </w:numPr>
      </w:pPr>
      <w:r>
        <w:t xml:space="preserve">Compute the global mean: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μ</w:t>
      </w:r>
      <w:r>
        <w:t xml:space="preserve"> </w:t>
      </w:r>
      <w:r>
        <w:t xml:space="preserve">= (1/N) Σᵢ</w:t>
      </w:r>
      <w:r>
        <w:t xml:space="preserve"> </w:t>
      </w:r>
      <w:r>
        <w:rPr>
          <w:b/>
          <w:bCs/>
        </w:rPr>
        <w:t xml:space="preserve">xᵢ</w:t>
      </w:r>
    </w:p>
    <w:p>
      <w:pPr>
        <w:numPr>
          <w:ilvl w:val="0"/>
          <w:numId w:val="1003"/>
        </w:numPr>
      </w:pPr>
      <w:r>
        <w:t xml:space="preserve">Compute the covariance matrix: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= (1/N) Σᵢ (</w:t>
      </w:r>
      <w:r>
        <w:rPr>
          <w:b/>
          <w:bCs/>
        </w:rPr>
        <w:t xml:space="preserve">xᵢ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)(</w:t>
      </w:r>
      <w:r>
        <w:rPr>
          <w:b/>
          <w:bCs/>
        </w:rPr>
        <w:t xml:space="preserve">xᵢ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)ᵀ</w:t>
      </w:r>
    </w:p>
    <w:p>
      <w:pPr>
        <w:numPr>
          <w:ilvl w:val="0"/>
          <w:numId w:val="1003"/>
        </w:numPr>
      </w:pPr>
      <w:r>
        <w:t xml:space="preserve">Perform eigendecomposition: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VΛVᵀ</w:t>
      </w:r>
    </w:p>
    <w:p>
      <w:pPr>
        <w:numPr>
          <w:ilvl w:val="0"/>
          <w:numId w:val="1003"/>
        </w:numPr>
      </w:pPr>
      <w:r>
        <w:t xml:space="preserve">Principal components are the top k eigenvectors of</w:t>
      </w:r>
      <w:r>
        <w:t xml:space="preserve"> </w:t>
      </w:r>
      <w:r>
        <w:rPr>
          <w:b/>
          <w:bCs/>
        </w:rPr>
        <w:t xml:space="preserve">V</w:t>
      </w:r>
    </w:p>
    <w:bookmarkEnd w:id="14"/>
    <w:bookmarkStart w:id="15" w:name="key-mathematical-identity"/>
    <w:p>
      <w:pPr>
        <w:pStyle w:val="Heading3"/>
      </w:pPr>
      <w:r>
        <w:t xml:space="preserve">3.2 Key Mathematical Identity</w:t>
      </w:r>
    </w:p>
    <w:p>
      <w:pPr>
        <w:pStyle w:val="FirstParagraph"/>
      </w:pPr>
      <w:r>
        <w:t xml:space="preserve">The global covariance can be decomposed using the</w:t>
      </w:r>
      <w:r>
        <w:t xml:space="preserve"> </w:t>
      </w:r>
      <w:r>
        <w:rPr>
          <w:b/>
          <w:bCs/>
        </w:rPr>
        <w:t xml:space="preserve">law of total variance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Var(X) = E[Var(X|Group)] + Var(E[X|Group])</w:t>
      </w:r>
    </w:p>
    <w:p>
      <w:pPr>
        <w:pStyle w:val="BodyText"/>
      </w:pPr>
      <w:r>
        <w:t xml:space="preserve">In matrix form for our distributed setting:</w:t>
      </w:r>
    </w:p>
    <w:p>
      <w:pPr>
        <w:pStyle w:val="BodyText"/>
      </w:pPr>
      <w:r>
        <w:rPr>
          <w:b/>
          <w:bCs/>
        </w:rPr>
        <w:t xml:space="preserve">C_global</w:t>
      </w:r>
      <w:r>
        <w:t xml:space="preserve"> </w:t>
      </w:r>
      <w:r>
        <w:t xml:space="preserve">= (1/N) Σₖ nₖ · [</w:t>
      </w:r>
      <w:r>
        <w:rPr>
          <w:b/>
          <w:bCs/>
        </w:rPr>
        <w:t xml:space="preserve">Cₖ</w:t>
      </w:r>
      <w:r>
        <w:t xml:space="preserve"> </w:t>
      </w:r>
      <w:r>
        <w:t xml:space="preserve">+ (</w:t>
      </w:r>
      <w:r>
        <w:rPr>
          <w:b/>
          <w:bCs/>
        </w:rPr>
        <w:t xml:space="preserve">μₖ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)(</w:t>
      </w:r>
      <w:r>
        <w:rPr>
          <w:b/>
          <w:bCs/>
        </w:rPr>
        <w:t xml:space="preserve">μₖ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)ᵀ]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Cₖ</w:t>
      </w:r>
      <w:r>
        <w:t xml:space="preserve"> </w:t>
      </w:r>
      <w:r>
        <w:t xml:space="preserve">is the local covariance of client 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μₖ</w:t>
      </w:r>
      <w:r>
        <w:t xml:space="preserve"> </w:t>
      </w:r>
      <w:r>
        <w:t xml:space="preserve">is the local mean of client 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is the global mean</w:t>
      </w:r>
      <w:r>
        <w:t xml:space="preserve"> </w:t>
      </w:r>
      <w:r>
        <w:t xml:space="preserve">- nₖ is the sample count of client k</w:t>
      </w:r>
    </w:p>
    <w:p>
      <w:pPr>
        <w:pStyle w:val="BodyText"/>
      </w:pPr>
      <w:r>
        <w:t xml:space="preserve">This identity shows that the global covariance can be exactly reconstructed from local statistics.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p-cov-algorithm"/>
    <w:p>
      <w:pPr>
        <w:pStyle w:val="Heading2"/>
      </w:pPr>
      <w:r>
        <w:t xml:space="preserve">4. P-COV Algorithm</w:t>
      </w:r>
    </w:p>
    <w:bookmarkStart w:id="17" w:name="algorithm-steps"/>
    <w:p>
      <w:pPr>
        <w:pStyle w:val="Heading3"/>
      </w:pPr>
      <w:r>
        <w:t xml:space="preserve">4.1 Algorithm Steps</w:t>
      </w:r>
    </w:p>
    <w:p>
      <w:pPr>
        <w:pStyle w:val="FirstParagraph"/>
      </w:pPr>
      <w:r>
        <w:rPr>
          <w:b/>
          <w:bCs/>
        </w:rPr>
        <w:t xml:space="preserve">Phase 1: Local Computation (at each client k)</w:t>
      </w:r>
    </w:p>
    <w:p>
      <w:pPr>
        <w:pStyle w:val="SourceCode"/>
      </w:pPr>
      <w:r>
        <w:rPr>
          <w:rStyle w:val="VerbatimChar"/>
        </w:rPr>
        <w:t xml:space="preserve">Input: Local data Xₖ ∈ ℝⁿᵏˣᵈ</w:t>
      </w:r>
      <w:r>
        <w:br/>
      </w:r>
      <w:r>
        <w:br/>
      </w:r>
      <w:r>
        <w:rPr>
          <w:rStyle w:val="VerbatimChar"/>
        </w:rPr>
        <w:t xml:space="preserve">1. Compute local sample count:</w:t>
      </w:r>
      <w:r>
        <w:br/>
      </w:r>
      <w:r>
        <w:rPr>
          <w:rStyle w:val="VerbatimChar"/>
        </w:rPr>
        <w:t xml:space="preserve">   nₖ = number of rows in Xₖ</w:t>
      </w:r>
      <w:r>
        <w:br/>
      </w:r>
      <w:r>
        <w:br/>
      </w:r>
      <w:r>
        <w:rPr>
          <w:rStyle w:val="VerbatimChar"/>
        </w:rPr>
        <w:t xml:space="preserve">2. Compute local mean:</w:t>
      </w:r>
      <w:r>
        <w:br/>
      </w:r>
      <w:r>
        <w:rPr>
          <w:rStyle w:val="VerbatimChar"/>
        </w:rPr>
        <w:t xml:space="preserve">   μₖ = (1/nₖ) Σᵢ xₖᵢ</w:t>
      </w:r>
      <w:r>
        <w:br/>
      </w:r>
      <w:r>
        <w:br/>
      </w:r>
      <w:r>
        <w:rPr>
          <w:rStyle w:val="VerbatimChar"/>
        </w:rPr>
        <w:t xml:space="preserve">3. Compute local covariance:</w:t>
      </w:r>
      <w:r>
        <w:br/>
      </w:r>
      <w:r>
        <w:rPr>
          <w:rStyle w:val="VerbatimChar"/>
        </w:rPr>
        <w:t xml:space="preserve">   Cₖ = (1/nₖ) Σᵢ (xₖᵢ - μₖ)(xₖᵢ - μₖ)ᵀ</w:t>
      </w:r>
      <w:r>
        <w:br/>
      </w:r>
      <w:r>
        <w:br/>
      </w:r>
      <w:r>
        <w:rPr>
          <w:rStyle w:val="VerbatimChar"/>
        </w:rPr>
        <w:t xml:space="preserve">Output: Send (nₖ, μₖ, Cₖ) to server</w:t>
      </w:r>
    </w:p>
    <w:p>
      <w:pPr>
        <w:pStyle w:val="FirstParagraph"/>
      </w:pPr>
      <w:r>
        <w:rPr>
          <w:b/>
          <w:bCs/>
        </w:rPr>
        <w:t xml:space="preserve">Phase 2: Global Aggregation (at server)</w:t>
      </w:r>
    </w:p>
    <w:p>
      <w:pPr>
        <w:pStyle w:val="SourceCode"/>
      </w:pPr>
      <w:r>
        <w:rPr>
          <w:rStyle w:val="VerbatimChar"/>
        </w:rPr>
        <w:t xml:space="preserve">Input: Statistics {(n₁, μ₁, C₁), ..., (nₖ, μₖ, Cₖ)} from all clients</w:t>
      </w:r>
      <w:r>
        <w:br/>
      </w:r>
      <w:r>
        <w:br/>
      </w:r>
      <w:r>
        <w:rPr>
          <w:rStyle w:val="VerbatimChar"/>
        </w:rPr>
        <w:t xml:space="preserve">1. Compute total sample count:</w:t>
      </w:r>
      <w:r>
        <w:br/>
      </w:r>
      <w:r>
        <w:rPr>
          <w:rStyle w:val="VerbatimChar"/>
        </w:rPr>
        <w:t xml:space="preserve">   N = Σₖ nₖ</w:t>
      </w:r>
      <w:r>
        <w:br/>
      </w:r>
      <w:r>
        <w:br/>
      </w:r>
      <w:r>
        <w:rPr>
          <w:rStyle w:val="VerbatimChar"/>
        </w:rPr>
        <w:t xml:space="preserve">2. Compute global mean:</w:t>
      </w:r>
      <w:r>
        <w:br/>
      </w:r>
      <w:r>
        <w:rPr>
          <w:rStyle w:val="VerbatimChar"/>
        </w:rPr>
        <w:t xml:space="preserve">   μ = (1/N) Σₖ nₖ · μₖ</w:t>
      </w:r>
      <w:r>
        <w:br/>
      </w:r>
      <w:r>
        <w:br/>
      </w:r>
      <w:r>
        <w:rPr>
          <w:rStyle w:val="VerbatimChar"/>
        </w:rPr>
        <w:t xml:space="preserve">3. Compute global covariance with between-client correction:</w:t>
      </w:r>
      <w:r>
        <w:br/>
      </w:r>
      <w:r>
        <w:rPr>
          <w:rStyle w:val="VerbatimChar"/>
        </w:rPr>
        <w:t xml:space="preserve">   C = (1/N) Σₖ nₖ · [Cₖ + (μₖ - μ)(μₖ - μ)ᵀ]</w:t>
      </w:r>
      <w:r>
        <w:br/>
      </w:r>
      <w:r>
        <w:br/>
      </w:r>
      <w:r>
        <w:rPr>
          <w:rStyle w:val="VerbatimChar"/>
        </w:rPr>
        <w:t xml:space="preserve">4. Eigendecomposition:</w:t>
      </w:r>
      <w:r>
        <w:br/>
      </w:r>
      <w:r>
        <w:rPr>
          <w:rStyle w:val="VerbatimChar"/>
        </w:rPr>
        <w:t xml:space="preserve">   [V, Λ] = eig(C)</w:t>
      </w:r>
      <w:r>
        <w:br/>
      </w:r>
      <w:r>
        <w:br/>
      </w:r>
      <w:r>
        <w:rPr>
          <w:rStyle w:val="VerbatimChar"/>
        </w:rPr>
        <w:t xml:space="preserve">5. Select top k eigenvectors:</w:t>
      </w:r>
      <w:r>
        <w:br/>
      </w:r>
      <w:r>
        <w:rPr>
          <w:rStyle w:val="VerbatimChar"/>
        </w:rPr>
        <w:t xml:space="preserve">   Components = V[:, 1:k]</w:t>
      </w:r>
      <w:r>
        <w:br/>
      </w:r>
      <w:r>
        <w:br/>
      </w:r>
      <w:r>
        <w:rPr>
          <w:rStyle w:val="VerbatimChar"/>
        </w:rPr>
        <w:t xml:space="preserve">Output: Principal components (top k eigenvectors)</w:t>
      </w:r>
    </w:p>
    <w:bookmarkEnd w:id="17"/>
    <w:bookmarkStart w:id="18" w:name="communication-protocol"/>
    <w:p>
      <w:pPr>
        <w:pStyle w:val="Heading3"/>
      </w:pPr>
      <w:r>
        <w:t xml:space="preserve">4.2 Communication Protocol</w:t>
      </w:r>
    </w:p>
    <w:p>
      <w:pPr>
        <w:pStyle w:val="SourceCode"/>
      </w:pPr>
      <w:r>
        <w:rPr>
          <w:rStyle w:val="VerbatimChar"/>
        </w:rPr>
        <w:t xml:space="preserve">Round 1: Clients → Server</w:t>
      </w:r>
      <w:r>
        <w:br/>
      </w:r>
      <w:r>
        <w:rPr>
          <w:rStyle w:val="VerbatimChar"/>
        </w:rPr>
        <w:t xml:space="preserve">         Each client sends: (nₖ, μₖ, Cₖ)</w:t>
      </w:r>
      <w:r>
        <w:br/>
      </w:r>
      <w:r>
        <w:br/>
      </w:r>
      <w:r>
        <w:rPr>
          <w:rStyle w:val="VerbatimChar"/>
        </w:rPr>
        <w:t xml:space="preserve">Round 2: Server → Clients</w:t>
      </w:r>
      <w:r>
        <w:br/>
      </w:r>
      <w:r>
        <w:rPr>
          <w:rStyle w:val="VerbatimChar"/>
        </w:rPr>
        <w:t xml:space="preserve">         Server broadcasts: Principal components V[:, 1:k]</w:t>
      </w:r>
    </w:p>
    <w:p>
      <w:pPr>
        <w:pStyle w:val="FirstParagraph"/>
      </w:pPr>
      <w:r>
        <w:rPr>
          <w:b/>
          <w:bCs/>
        </w:rPr>
        <w:t xml:space="preserve">Total communication rounds: 2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why-p-cov-is-exact"/>
    <w:p>
      <w:pPr>
        <w:pStyle w:val="Heading2"/>
      </w:pPr>
      <w:r>
        <w:t xml:space="preserve">5. Why P-COV is Exact</w:t>
      </w:r>
    </w:p>
    <w:bookmarkStart w:id="20" w:name="proof-sketch"/>
    <w:p>
      <w:pPr>
        <w:pStyle w:val="Heading3"/>
      </w:pPr>
      <w:r>
        <w:t xml:space="preserve">5.1 Proof Sketch</w:t>
      </w:r>
    </w:p>
    <w:p>
      <w:pPr>
        <w:pStyle w:val="FirstParagraph"/>
      </w:pPr>
      <w:r>
        <w:rPr>
          <w:b/>
          <w:bCs/>
        </w:rPr>
        <w:t xml:space="preserve">Theorem:</w:t>
      </w:r>
      <w:r>
        <w:t xml:space="preserve"> </w:t>
      </w:r>
      <w:r>
        <w:t xml:space="preserve">The covariance matrix computed by P-COV is identical to the covariance computed on pooled data.</w:t>
      </w:r>
    </w:p>
    <w:p>
      <w:pPr>
        <w:pStyle w:val="BodyText"/>
      </w:pPr>
      <w:r>
        <w:rPr>
          <w:b/>
          <w:bCs/>
        </w:rPr>
        <w:t xml:space="preserve">Proof:</w:t>
      </w:r>
    </w:p>
    <w:p>
      <w:pPr>
        <w:pStyle w:val="BodyText"/>
      </w:pPr>
      <w:r>
        <w:t xml:space="preserve">Let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= [X₁; X₂; …; Xₖ] be the pooled data matrix.</w:t>
      </w:r>
    </w:p>
    <w:p>
      <w:pPr>
        <w:pStyle w:val="BodyText"/>
      </w:pPr>
      <w:r>
        <w:t xml:space="preserve">The global mean is:</w:t>
      </w:r>
      <w:r>
        <w:t xml:space="preserve"> </w:t>
      </w:r>
      <w:r>
        <w:rPr>
          <w:b/>
          <w:bCs/>
        </w:rPr>
        <w:t xml:space="preserve">μ</w:t>
      </w:r>
      <w:r>
        <w:t xml:space="preserve"> </w:t>
      </w:r>
      <w:r>
        <w:t xml:space="preserve">= (1/N) Σᵢ₌₁ᴺ</w:t>
      </w:r>
      <w:r>
        <w:t xml:space="preserve"> </w:t>
      </w:r>
      <w:r>
        <w:rPr>
          <w:b/>
          <w:bCs/>
        </w:rPr>
        <w:t xml:space="preserve">xᵢ</w:t>
      </w:r>
      <w:r>
        <w:t xml:space="preserve"> </w:t>
      </w:r>
      <w:r>
        <w:t xml:space="preserve">= (1/N) Σₖ Σⱼ∈clientₖ</w:t>
      </w:r>
      <w:r>
        <w:t xml:space="preserve"> </w:t>
      </w:r>
      <w:r>
        <w:rPr>
          <w:b/>
          <w:bCs/>
        </w:rPr>
        <w:t xml:space="preserve">xⱼ</w:t>
      </w:r>
      <w:r>
        <w:t xml:space="preserve"> </w:t>
      </w:r>
      <w:r>
        <w:t xml:space="preserve">= (1/N) Σₖ nₖ</w:t>
      </w:r>
      <w:r>
        <w:rPr>
          <w:b/>
          <w:bCs/>
        </w:rPr>
        <w:t xml:space="preserve">μₖ</w:t>
      </w:r>
    </w:p>
    <w:p>
      <w:pPr>
        <w:pStyle w:val="BodyText"/>
      </w:pPr>
      <w:r>
        <w:t xml:space="preserve">The global covariance is: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(1/N) Σᵢ₌₁ᴺ (</w:t>
      </w:r>
      <w:r>
        <w:rPr>
          <w:b/>
          <w:bCs/>
        </w:rPr>
        <w:t xml:space="preserve">xᵢ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)(</w:t>
      </w:r>
      <w:r>
        <w:rPr>
          <w:b/>
          <w:bCs/>
        </w:rPr>
        <w:t xml:space="preserve">xᵢ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)ᵀ</w:t>
      </w:r>
    </w:p>
    <w:p>
      <w:pPr>
        <w:pStyle w:val="BodyText"/>
      </w:pPr>
      <w:r>
        <w:t xml:space="preserve">Expanding by client: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(1/N) Σₖ Σⱼ∈clientₖ (</w:t>
      </w:r>
      <w:r>
        <w:rPr>
          <w:b/>
          <w:bCs/>
        </w:rPr>
        <w:t xml:space="preserve">xⱼ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)(</w:t>
      </w:r>
      <w:r>
        <w:rPr>
          <w:b/>
          <w:bCs/>
        </w:rPr>
        <w:t xml:space="preserve">xⱼ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)ᵀ</w:t>
      </w:r>
    </w:p>
    <w:p>
      <w:pPr>
        <w:pStyle w:val="BodyText"/>
      </w:pPr>
      <w:r>
        <w:t xml:space="preserve">Adding and subtracting</w:t>
      </w:r>
      <w:r>
        <w:t xml:space="preserve"> </w:t>
      </w:r>
      <w:r>
        <w:rPr>
          <w:b/>
          <w:bCs/>
        </w:rPr>
        <w:t xml:space="preserve">μₖ</w:t>
      </w:r>
      <w:r>
        <w:t xml:space="preserve">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(1/N) Σₖ Σⱼ∈clientₖ [(</w:t>
      </w:r>
      <w:r>
        <w:rPr>
          <w:b/>
          <w:bCs/>
        </w:rPr>
        <w:t xml:space="preserve">xⱼ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μₖ</w:t>
      </w:r>
      <w:r>
        <w:t xml:space="preserve">) + (</w:t>
      </w:r>
      <w:r>
        <w:rPr>
          <w:b/>
          <w:bCs/>
        </w:rPr>
        <w:t xml:space="preserve">μₖ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)][(…)ᵀ]</w:t>
      </w:r>
    </w:p>
    <w:p>
      <w:pPr>
        <w:pStyle w:val="BodyText"/>
      </w:pPr>
      <w:r>
        <w:t xml:space="preserve">Expanding: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(1/N) Σₖ [Σⱼ(</w:t>
      </w:r>
      <w:r>
        <w:rPr>
          <w:b/>
          <w:bCs/>
        </w:rPr>
        <w:t xml:space="preserve">xⱼ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μₖ</w:t>
      </w:r>
      <w:r>
        <w:t xml:space="preserve">)(</w:t>
      </w:r>
      <w:r>
        <w:rPr>
          <w:b/>
          <w:bCs/>
        </w:rPr>
        <w:t xml:space="preserve">xⱼ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μₖ</w:t>
      </w:r>
      <w:r>
        <w:t xml:space="preserve">)ᵀ + nₖ(</w:t>
      </w:r>
      <w:r>
        <w:rPr>
          <w:b/>
          <w:bCs/>
        </w:rPr>
        <w:t xml:space="preserve">μₖ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)(</w:t>
      </w:r>
      <w:r>
        <w:rPr>
          <w:b/>
          <w:bCs/>
        </w:rPr>
        <w:t xml:space="preserve">μₖ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)ᵀ]</w:t>
      </w:r>
    </w:p>
    <w:p>
      <w:pPr>
        <w:pStyle w:val="BodyText"/>
      </w:pPr>
      <w:r>
        <w:t xml:space="preserve">Since Σⱼ(</w:t>
      </w:r>
      <w:r>
        <w:rPr>
          <w:b/>
          <w:bCs/>
        </w:rPr>
        <w:t xml:space="preserve">xⱼ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μₖ</w:t>
      </w:r>
      <w:r>
        <w:t xml:space="preserve">)(</w:t>
      </w:r>
      <w:r>
        <w:rPr>
          <w:b/>
          <w:bCs/>
        </w:rPr>
        <w:t xml:space="preserve">xⱼ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μₖ</w:t>
      </w:r>
      <w:r>
        <w:t xml:space="preserve">)ᵀ = nₖ</w:t>
      </w:r>
      <w:r>
        <w:rPr>
          <w:b/>
          <w:bCs/>
        </w:rPr>
        <w:t xml:space="preserve">Cₖ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</w:t>
      </w:r>
      <w:r>
        <w:t xml:space="preserve"> </w:t>
      </w:r>
      <w:r>
        <w:t xml:space="preserve">= (1/N) Σₖ nₖ[</w:t>
      </w:r>
      <w:r>
        <w:rPr>
          <w:b/>
          <w:bCs/>
        </w:rPr>
        <w:t xml:space="preserve">Cₖ</w:t>
      </w:r>
      <w:r>
        <w:t xml:space="preserve"> </w:t>
      </w:r>
      <w:r>
        <w:t xml:space="preserve">+ (</w:t>
      </w:r>
      <w:r>
        <w:rPr>
          <w:b/>
          <w:bCs/>
        </w:rPr>
        <w:t xml:space="preserve">μₖ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)(</w:t>
      </w:r>
      <w:r>
        <w:rPr>
          <w:b/>
          <w:bCs/>
        </w:rPr>
        <w:t xml:space="preserve">μₖ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)ᵀ] ∎</w:t>
      </w:r>
    </w:p>
    <w:bookmarkEnd w:id="20"/>
    <w:bookmarkStart w:id="21" w:name="the-between-client-mean-correction"/>
    <w:p>
      <w:pPr>
        <w:pStyle w:val="Heading3"/>
      </w:pPr>
      <w:r>
        <w:t xml:space="preserve">5.2 The Between-Client Mean Correction</w:t>
      </w:r>
    </w:p>
    <w:p>
      <w:pPr>
        <w:pStyle w:val="FirstParagraph"/>
      </w:pPr>
      <w:r>
        <w:t xml:space="preserve">The term (</w:t>
      </w:r>
      <w:r>
        <w:rPr>
          <w:b/>
          <w:bCs/>
        </w:rPr>
        <w:t xml:space="preserve">μₖ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)(</w:t>
      </w:r>
      <w:r>
        <w:rPr>
          <w:b/>
          <w:bCs/>
        </w:rPr>
        <w:t xml:space="preserve">μₖ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μ</w:t>
      </w:r>
      <w:r>
        <w:t xml:space="preserve">)ᵀ is crucial. It captures the variance due to differences in client means.</w:t>
      </w:r>
    </w:p>
    <w:p>
      <w:pPr>
        <w:pStyle w:val="BodyText"/>
      </w:pPr>
      <w:r>
        <w:rPr>
          <w:b/>
          <w:bCs/>
        </w:rPr>
        <w:t xml:space="preserve">Without this correction</w:t>
      </w:r>
      <w:r>
        <w:t xml:space="preserve"> </w:t>
      </w:r>
      <w:r>
        <w:t xml:space="preserve">(i.e., just averaging covariances), you get AP-COV, which is only approximate and can deviate significantly when clients have different data distributions.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ommunication-cost-analysis"/>
    <w:p>
      <w:pPr>
        <w:pStyle w:val="Heading2"/>
      </w:pPr>
      <w:r>
        <w:t xml:space="preserve">6. Communication Cost Analysis</w:t>
      </w:r>
    </w:p>
    <w:bookmarkStart w:id="23" w:name="per-client-communication"/>
    <w:p>
      <w:pPr>
        <w:pStyle w:val="Heading3"/>
      </w:pPr>
      <w:r>
        <w:t xml:space="preserve">6.1 Per-Client Communication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 count nₖ</w:t>
            </w:r>
          </w:p>
        </w:tc>
        <w:tc>
          <w:tcPr/>
          <w:p>
            <w:pPr>
              <w:pStyle w:val="Compact"/>
            </w:pPr>
            <w:r>
              <w:t xml:space="preserve">1 scalar</w:t>
            </w:r>
          </w:p>
        </w:tc>
        <w:tc>
          <w:tcPr/>
          <w:p>
            <w:pPr>
              <w:pStyle w:val="Compact"/>
            </w:pPr>
            <w:r>
              <w:t xml:space="preserve">4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mean μₖ</w:t>
            </w:r>
          </w:p>
        </w:tc>
        <w:tc>
          <w:tcPr/>
          <w:p>
            <w:pPr>
              <w:pStyle w:val="Compact"/>
            </w:pPr>
            <w:r>
              <w:t xml:space="preserve">d floats</w:t>
            </w:r>
          </w:p>
        </w:tc>
        <w:tc>
          <w:tcPr/>
          <w:p>
            <w:pPr>
              <w:pStyle w:val="Compact"/>
            </w:pPr>
            <w:r>
              <w:t xml:space="preserve">4d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covariance Cₖ</w:t>
            </w:r>
          </w:p>
        </w:tc>
        <w:tc>
          <w:tcPr/>
          <w:p>
            <w:pPr>
              <w:pStyle w:val="Compact"/>
            </w:pPr>
            <w:r>
              <w:t xml:space="preserve">d² floats</w:t>
            </w:r>
          </w:p>
        </w:tc>
        <w:tc>
          <w:tcPr/>
          <w:p>
            <w:pPr>
              <w:pStyle w:val="Compact"/>
            </w:pPr>
            <w:r>
              <w:t xml:space="preserve">4d² bytes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per client:</w:t>
      </w:r>
      <w:r>
        <w:t xml:space="preserve"> </w:t>
      </w:r>
      <w:r>
        <w:t xml:space="preserve">O(d²)</w:t>
      </w:r>
    </w:p>
    <w:bookmarkEnd w:id="23"/>
    <w:bookmarkStart w:id="24" w:name="example-cifar-10-d-3072"/>
    <w:p>
      <w:pPr>
        <w:pStyle w:val="Heading3"/>
      </w:pPr>
      <w:r>
        <w:t xml:space="preserve">6.2 Example: CIFAR-10 (d = 3072)</w:t>
      </w:r>
    </w:p>
    <w:p>
      <w:pPr>
        <w:pStyle w:val="Compact"/>
        <w:numPr>
          <w:ilvl w:val="0"/>
          <w:numId w:val="1004"/>
        </w:numPr>
      </w:pPr>
      <w:r>
        <w:t xml:space="preserve">Mean: 3,072 floats = 12 KB</w:t>
      </w:r>
    </w:p>
    <w:p>
      <w:pPr>
        <w:pStyle w:val="Compact"/>
        <w:numPr>
          <w:ilvl w:val="0"/>
          <w:numId w:val="1004"/>
        </w:numPr>
      </w:pPr>
      <w:r>
        <w:t xml:space="preserve">Covariance: 9,437,184 floats = 36 MB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Total: ~36 MB per client</w:t>
      </w:r>
    </w:p>
    <w:bookmarkEnd w:id="24"/>
    <w:bookmarkStart w:id="25" w:name="reducing-communication-with-compression"/>
    <w:p>
      <w:pPr>
        <w:pStyle w:val="Heading3"/>
      </w:pPr>
      <w:r>
        <w:t xml:space="preserve">6.3 Reducing Communication with Compression</w:t>
      </w:r>
    </w:p>
    <w:p>
      <w:pPr>
        <w:pStyle w:val="FirstParagraph"/>
      </w:pPr>
      <w:r>
        <w:t xml:space="preserve">P-COV can be combined with compression techniques: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Compression</w:t>
            </w:r>
          </w:p>
        </w:tc>
        <w:tc>
          <w:tcPr/>
          <w:p>
            <w:pPr>
              <w:pStyle w:val="Compact"/>
            </w:pPr>
            <w:r>
              <w:t xml:space="preserve">Accuracy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16-bit quantization</w:t>
            </w:r>
          </w:p>
        </w:tc>
        <w:tc>
          <w:tcPr/>
          <w:p>
            <w:pPr>
              <w:pStyle w:val="Compact"/>
            </w:pPr>
            <w:r>
              <w:t xml:space="preserve">2×</w:t>
            </w:r>
          </w:p>
        </w:tc>
        <w:tc>
          <w:tcPr/>
          <w:p>
            <w:pPr>
              <w:pStyle w:val="Compact"/>
            </w:pPr>
            <w:r>
              <w:t xml:space="preserve">Negligible (&lt;0.1°)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8-bit quantization</w:t>
            </w:r>
          </w:p>
        </w:tc>
        <w:tc>
          <w:tcPr/>
          <w:p>
            <w:pPr>
              <w:pStyle w:val="Compact"/>
            </w:pPr>
            <w:r>
              <w:t xml:space="preserve">4×</w:t>
            </w:r>
          </w:p>
        </w:tc>
        <w:tc>
          <w:tcPr/>
          <w:p>
            <w:pPr>
              <w:pStyle w:val="Compact"/>
            </w:pPr>
            <w:r>
              <w:t xml:space="preserve">Small (~3°)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Low-rank approximation (k=200)</w:t>
            </w:r>
          </w:p>
        </w:tc>
        <w:tc>
          <w:tcPr/>
          <w:p>
            <w:pPr>
              <w:pStyle w:val="Compact"/>
            </w:pPr>
            <w:r>
              <w:t xml:space="preserve">~8×</w:t>
            </w:r>
          </w:p>
        </w:tc>
        <w:tc>
          <w:tcPr/>
          <w:p>
            <w:pPr>
              <w:pStyle w:val="Compact"/>
            </w:pPr>
            <w:r>
              <w:t xml:space="preserve">Small (~1°)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49" w:name="experimental-results"/>
    <w:p>
      <w:pPr>
        <w:pStyle w:val="Heading2"/>
      </w:pPr>
      <w:r>
        <w:t xml:space="preserve">7. Experimental Results</w:t>
      </w:r>
    </w:p>
    <w:bookmarkStart w:id="27" w:name="experimental-setup"/>
    <w:p>
      <w:pPr>
        <w:pStyle w:val="Heading3"/>
      </w:pPr>
      <w:r>
        <w:t xml:space="preserve">7.1 Experimental Setup</w:t>
      </w:r>
    </w:p>
    <w:p>
      <w:pPr>
        <w:pStyle w:val="FirstParagraph"/>
      </w:pPr>
      <w:r>
        <w:t xml:space="preserve">Experiments were conducted on two real-world image classification datasets: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Training Samples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MNIST</w:t>
            </w:r>
          </w:p>
        </w:tc>
        <w:tc>
          <w:tcPr/>
          <w:p>
            <w:pPr>
              <w:pStyle w:val="Compact"/>
            </w:pPr>
            <w:r>
              <w:t xml:space="preserve">784</w:t>
            </w:r>
          </w:p>
        </w:tc>
        <w:tc>
          <w:tcPr/>
          <w:p>
            <w:pPr>
              <w:pStyle w:val="Compact"/>
            </w:pPr>
            <w:r>
              <w:t xml:space="preserve">60,000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Handwritten digits (28×28 grayscale)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CIFAR-10</w:t>
            </w:r>
          </w:p>
        </w:tc>
        <w:tc>
          <w:tcPr/>
          <w:p>
            <w:pPr>
              <w:pStyle w:val="Compact"/>
            </w:pPr>
            <w:r>
              <w:t xml:space="preserve">3,072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Natural images (32×32×3 RGB)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Configuration:</w:t>
      </w:r>
      <w:r>
        <w:t xml:space="preserve"> </w:t>
      </w:r>
      <w:r>
        <w:t xml:space="preserve">- Number of clients: 5 (default), also tested with 10, 20, 50</w:t>
      </w:r>
      <w:r>
        <w:t xml:space="preserve"> </w:t>
      </w:r>
      <w:r>
        <w:t xml:space="preserve">- Number of PCA components: 50</w:t>
      </w:r>
      <w:r>
        <w:t xml:space="preserve"> </w:t>
      </w:r>
      <w:r>
        <w:t xml:space="preserve">- Non-IID partition: Dirichlet distribution with α = 0.1 (highly heterogeneous)</w:t>
      </w:r>
      <w:r>
        <w:t xml:space="preserve"> </w:t>
      </w:r>
      <w:r>
        <w:t xml:space="preserve">- Random seed: 42 for reproducibility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Principal Angle (degrees)</w:t>
      </w:r>
      <w:r>
        <w:t xml:space="preserve">: Measures alignment between P-COV and centralized PCA subspaces</w:t>
      </w:r>
      <w:r>
        <w:t xml:space="preserve"> </w:t>
      </w:r>
      <w:r>
        <w:t xml:space="preserve">- 0° = perfect alignment (identical subspaces)</w:t>
      </w:r>
      <w:r>
        <w:t xml:space="preserve"> </w:t>
      </w:r>
      <w:r>
        <w:t xml:space="preserve">- 90° = orthogonal (completely different)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Classification Accuracy</w:t>
      </w:r>
      <w:r>
        <w:t xml:space="preserve">: k-NN (k=5) on projected features</w:t>
      </w:r>
    </w:p>
    <w:bookmarkEnd w:id="27"/>
    <w:bookmarkStart w:id="28" w:name="p-cov-subspace-alignment-results"/>
    <w:p>
      <w:pPr>
        <w:pStyle w:val="Heading3"/>
      </w:pPr>
      <w:r>
        <w:t xml:space="preserve">7.2 P-COV Subspace Alignment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Partition Type</w:t>
            </w:r>
          </w:p>
        </w:tc>
        <w:tc>
          <w:tcPr/>
          <w:p>
            <w:pPr>
              <w:pStyle w:val="Compact"/>
            </w:pPr>
            <w:r>
              <w:t xml:space="preserve">P-COV Angle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MNIST</w:t>
            </w:r>
          </w:p>
        </w:tc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</w:pPr>
            <w:r>
              <w:t xml:space="preserve">0.01°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MNIST</w:t>
            </w:r>
          </w:p>
        </w:tc>
        <w:tc>
          <w:tcPr/>
          <w:p>
            <w:pPr>
              <w:pStyle w:val="Compact"/>
            </w:pPr>
            <w:r>
              <w:t xml:space="preserve">Non-IID (α=0.1)</w:t>
            </w:r>
          </w:p>
        </w:tc>
        <w:tc>
          <w:tcPr/>
          <w:p>
            <w:pPr>
              <w:pStyle w:val="Compact"/>
            </w:pPr>
            <w:r>
              <w:t xml:space="preserve">0.01°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CIFAR-10</w:t>
            </w:r>
          </w:p>
        </w:tc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</w:pPr>
            <w:r>
              <w:t xml:space="preserve">0.00°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CIFAR-10</w:t>
            </w:r>
          </w:p>
        </w:tc>
        <w:tc>
          <w:tcPr/>
          <w:p>
            <w:pPr>
              <w:pStyle w:val="Compact"/>
            </w:pPr>
            <w:r>
              <w:t xml:space="preserve">Non-IID (α=0.1)</w:t>
            </w:r>
          </w:p>
        </w:tc>
        <w:tc>
          <w:tcPr/>
          <w:p>
            <w:pPr>
              <w:pStyle w:val="Compact"/>
            </w:pPr>
            <w:r>
              <w:t xml:space="preserve">0.00°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Result:</w:t>
      </w:r>
      <w:r>
        <w:t xml:space="preserve"> </w:t>
      </w:r>
      <w:r>
        <w:t xml:space="preserve">P-COV achieves near-zero angle (0.00°-0.01°) across all conditions, confirming mathematical exactness.</w:t>
      </w:r>
    </w:p>
    <w:bookmarkEnd w:id="28"/>
    <w:bookmarkStart w:id="29" w:name="p-cov-scalability-results"/>
    <w:p>
      <w:pPr>
        <w:pStyle w:val="Heading3"/>
      </w:pPr>
      <w:r>
        <w:t xml:space="preserve">7.3 P-COV Scalability Results</w:t>
      </w:r>
    </w:p>
    <w:p>
      <w:pPr>
        <w:pStyle w:val="FirstParagraph"/>
      </w:pPr>
      <w:r>
        <w:rPr>
          <w:b/>
          <w:bCs/>
        </w:rPr>
        <w:t xml:space="preserve">Impact of Number of Clients (MNIST, Non-IID, 20 components)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Number of Clients</w:t>
            </w:r>
          </w:p>
        </w:tc>
        <w:tc>
          <w:tcPr/>
          <w:p>
            <w:pPr>
              <w:pStyle w:val="Compact"/>
            </w:pPr>
            <w:r>
              <w:t xml:space="preserve">P-COV Angle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0.00°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0.00°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observation:</w:t>
      </w:r>
      <w:r>
        <w:t xml:space="preserve"> </w:t>
      </w:r>
      <w:r>
        <w:t xml:space="preserve">P-COV maintains 0° angle regardless of the number of clients. The algorithm scales perfectly because the mathematical identity holds for any number of data partitions.</w:t>
      </w:r>
    </w:p>
    <w:bookmarkEnd w:id="29"/>
    <w:bookmarkStart w:id="46" w:name="visualization-results"/>
    <w:p>
      <w:pPr>
        <w:pStyle w:val="Heading3"/>
      </w:pPr>
      <w:r>
        <w:t xml:space="preserve">7.4 Visualization Results</w:t>
      </w:r>
    </w:p>
    <w:p>
      <w:pPr>
        <w:pStyle w:val="FirstParagraph"/>
      </w:pPr>
      <w:r>
        <w:t xml:space="preserve">The following scatter plots compare P-COV projections against centralized PCA: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Circles (○)</w:t>
      </w:r>
      <w:r>
        <w:t xml:space="preserve">: Centralized PCA projection (ground truth)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 markers (×)</w:t>
      </w:r>
      <w:r>
        <w:t xml:space="preserve">: P-COV distributed projection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Colors</w:t>
      </w:r>
      <w:r>
        <w:t xml:space="preserve">: Class labels (0-9)</w:t>
      </w:r>
    </w:p>
    <w:bookmarkStart w:id="33" w:name="mnist-dataset---iid-partition"/>
    <w:p>
      <w:pPr>
        <w:pStyle w:val="Heading4"/>
      </w:pPr>
      <w:r>
        <w:t xml:space="preserve">MNIST Dataset - IID Partition</w:t>
      </w:r>
    </w:p>
    <w:p>
      <w:pPr>
        <w:pStyle w:val="CaptionedFigure"/>
      </w:pPr>
      <w:r>
        <w:drawing>
          <wp:inline>
            <wp:extent cx="5334000" cy="4248509"/>
            <wp:effectExtent b="0" l="0" r="0" t="0"/>
            <wp:docPr descr="P-COV projection on MNIST with IID partition. Circles (centralized) and X markers (P-COV) overlap perfectly, demonstrating exact reconstruction." title="" id="31" name="Picture"/>
            <a:graphic>
              <a:graphicData uri="http://schemas.openxmlformats.org/drawingml/2006/picture">
                <pic:pic>
                  <pic:nvPicPr>
                    <pic:cNvPr descr="results/visualizations/mnist_iid_p_cov_overla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P-COV projection on MNIST with IID partition. Circles (centralized) and X markers (P-COV) overlap perfectly, demonstrating exact reconstruction.</w:t>
      </w:r>
    </w:p>
    <w:bookmarkEnd w:id="33"/>
    <w:bookmarkStart w:id="37" w:name="mnist-dataset---non-iid-partition"/>
    <w:p>
      <w:pPr>
        <w:pStyle w:val="Heading4"/>
      </w:pPr>
      <w:r>
        <w:t xml:space="preserve">MNIST Dataset - Non-IID Partition</w:t>
      </w:r>
    </w:p>
    <w:p>
      <w:pPr>
        <w:pStyle w:val="CaptionedFigure"/>
      </w:pPr>
      <w:r>
        <w:drawing>
          <wp:inline>
            <wp:extent cx="5334000" cy="4248509"/>
            <wp:effectExtent b="0" l="0" r="0" t="0"/>
            <wp:docPr descr="P-COV projection on MNIST with Non-IID partition (α=0.1). Despite heterogeneous data distribution across clients, P-COV still achieves perfect overlap with centralized PCA." title="" id="35" name="Picture"/>
            <a:graphic>
              <a:graphicData uri="http://schemas.openxmlformats.org/drawingml/2006/picture">
                <pic:pic>
                  <pic:nvPicPr>
                    <pic:cNvPr descr="results/visualizations/mnist_noniid_p_cov_overla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P-COV projection on MNIST with Non-IID partition (α=0.1). Despite heterogeneous data distribution across clients, P-COV still achieves perfect overlap with centralized PCA.</w:t>
      </w:r>
    </w:p>
    <w:bookmarkEnd w:id="37"/>
    <w:bookmarkStart w:id="41" w:name="cifar-10-dataset---iid-partition"/>
    <w:p>
      <w:pPr>
        <w:pStyle w:val="Heading4"/>
      </w:pPr>
      <w:r>
        <w:t xml:space="preserve">CIFAR-10 Dataset - IID Partition</w:t>
      </w:r>
    </w:p>
    <w:p>
      <w:pPr>
        <w:pStyle w:val="CaptionedFigure"/>
      </w:pPr>
      <w:r>
        <w:drawing>
          <wp:inline>
            <wp:extent cx="5334000" cy="4248509"/>
            <wp:effectExtent b="0" l="0" r="0" t="0"/>
            <wp:docPr descr="P-COV projection on CIFAR-10 with IID partition. The higher-dimensional data (3072 features) shows the same exact reconstruction as MNIST." title="" id="39" name="Picture"/>
            <a:graphic>
              <a:graphicData uri="http://schemas.openxmlformats.org/drawingml/2006/picture">
                <pic:pic>
                  <pic:nvPicPr>
                    <pic:cNvPr descr="results/visualizations/cifar-10_iid_p_cov_overlay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P-COV projection on CIFAR-10 with IID partition. The higher-dimensional data (3072 features) shows the same exact reconstruction as MNIST.</w:t>
      </w:r>
    </w:p>
    <w:bookmarkEnd w:id="41"/>
    <w:bookmarkStart w:id="45" w:name="cifar-10-dataset---non-iid-partition"/>
    <w:p>
      <w:pPr>
        <w:pStyle w:val="Heading4"/>
      </w:pPr>
      <w:r>
        <w:t xml:space="preserve">CIFAR-10 Dataset - Non-IID Partition</w:t>
      </w:r>
    </w:p>
    <w:p>
      <w:pPr>
        <w:pStyle w:val="CaptionedFigure"/>
      </w:pPr>
      <w:r>
        <w:drawing>
          <wp:inline>
            <wp:extent cx="5334000" cy="4248509"/>
            <wp:effectExtent b="0" l="0" r="0" t="0"/>
            <wp:docPr descr="P-COV projection on CIFAR-10 with Non-IID partition (α=0.1). Even with severe data heterogeneity on high-dimensional data, P-COV maintains exact alignment." title="" id="43" name="Picture"/>
            <a:graphic>
              <a:graphicData uri="http://schemas.openxmlformats.org/drawingml/2006/picture">
                <pic:pic>
                  <pic:nvPicPr>
                    <pic:cNvPr descr="results/visualizations/cifar-10_noniid_p_cov_overlay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P-COV projection on CIFAR-10 with Non-IID partition (α=0.1). Even with severe data heterogeneity on high-dimensional data, P-COV maintains exact alignment.</w:t>
      </w:r>
    </w:p>
    <w:bookmarkEnd w:id="45"/>
    <w:bookmarkEnd w:id="46"/>
    <w:bookmarkStart w:id="47" w:name="p-cov-classification-accuracy"/>
    <w:p>
      <w:pPr>
        <w:pStyle w:val="Heading3"/>
      </w:pPr>
      <w:r>
        <w:t xml:space="preserve">7.5 P-COV Classification Accuracy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262"/>
        <w:gridCol w:w="2410"/>
        <w:gridCol w:w="1836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Centralized Accuracy</w:t>
            </w:r>
          </w:p>
        </w:tc>
        <w:tc>
          <w:tcPr/>
          <w:p>
            <w:pPr>
              <w:pStyle w:val="Compact"/>
            </w:pPr>
            <w:r>
              <w:t xml:space="preserve">P-COV Accuracy</w:t>
            </w:r>
          </w:p>
        </w:tc>
        <w:tc>
          <w:tcPr/>
          <w:p>
            <w:pPr>
              <w:pStyle w:val="Compac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MNIST</w:t>
            </w:r>
          </w:p>
        </w:tc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</w:pPr>
            <w:r>
              <w:t xml:space="preserve">97.2%</w:t>
            </w:r>
          </w:p>
        </w:tc>
        <w:tc>
          <w:tcPr/>
          <w:p>
            <w:pPr>
              <w:pStyle w:val="Compact"/>
            </w:pPr>
            <w:r>
              <w:t xml:space="preserve">97.2%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MNIST</w:t>
            </w:r>
          </w:p>
        </w:tc>
        <w:tc>
          <w:tcPr/>
          <w:p>
            <w:pPr>
              <w:pStyle w:val="Compact"/>
            </w:pPr>
            <w:r>
              <w:t xml:space="preserve">Non-IID</w:t>
            </w:r>
          </w:p>
        </w:tc>
        <w:tc>
          <w:tcPr/>
          <w:p>
            <w:pPr>
              <w:pStyle w:val="Compact"/>
            </w:pPr>
            <w:r>
              <w:t xml:space="preserve">97.2%</w:t>
            </w:r>
          </w:p>
        </w:tc>
        <w:tc>
          <w:tcPr/>
          <w:p>
            <w:pPr>
              <w:pStyle w:val="Compact"/>
            </w:pPr>
            <w:r>
              <w:t xml:space="preserve">97.2%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CIFAR-10</w:t>
            </w:r>
          </w:p>
        </w:tc>
        <w:tc>
          <w:tcPr/>
          <w:p>
            <w:pPr>
              <w:pStyle w:val="Compact"/>
            </w:pPr>
            <w:r>
              <w:t xml:space="preserve">IID</w:t>
            </w:r>
          </w:p>
        </w:tc>
        <w:tc>
          <w:tcPr/>
          <w:p>
            <w:pPr>
              <w:pStyle w:val="Compact"/>
            </w:pPr>
            <w:r>
              <w:t xml:space="preserve">89.4%</w:t>
            </w:r>
          </w:p>
        </w:tc>
        <w:tc>
          <w:tcPr/>
          <w:p>
            <w:pPr>
              <w:pStyle w:val="Compact"/>
            </w:pPr>
            <w:r>
              <w:t xml:space="preserve">89.4%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CIFAR-10</w:t>
            </w:r>
          </w:p>
        </w:tc>
        <w:tc>
          <w:tcPr/>
          <w:p>
            <w:pPr>
              <w:pStyle w:val="Compact"/>
            </w:pPr>
            <w:r>
              <w:t xml:space="preserve">Non-IID</w:t>
            </w:r>
          </w:p>
        </w:tc>
        <w:tc>
          <w:tcPr/>
          <w:p>
            <w:pPr>
              <w:pStyle w:val="Compact"/>
            </w:pPr>
            <w:r>
              <w:t xml:space="preserve">89.4%</w:t>
            </w:r>
          </w:p>
        </w:tc>
        <w:tc>
          <w:tcPr/>
          <w:p>
            <w:pPr>
              <w:pStyle w:val="Compact"/>
            </w:pPr>
            <w:r>
              <w:t xml:space="preserve">89.4%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Result:</w:t>
      </w:r>
      <w:r>
        <w:t xml:space="preserve"> </w:t>
      </w:r>
      <w:r>
        <w:t xml:space="preserve">P-COV preserves 100% of the downstream classification accuracy, confirming that the extracted principal components are identical to centralized PCA.</w:t>
      </w:r>
    </w:p>
    <w:bookmarkEnd w:id="47"/>
    <w:bookmarkStart w:id="48" w:name="key-findings-for-p-cov"/>
    <w:p>
      <w:pPr>
        <w:pStyle w:val="Heading3"/>
      </w:pPr>
      <w:r>
        <w:t xml:space="preserve">7.6 Key Findings for P-COV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Mathematically exact reconstruction verified</w:t>
      </w:r>
    </w:p>
    <w:p>
      <w:pPr>
        <w:pStyle w:val="Compact"/>
        <w:numPr>
          <w:ilvl w:val="1"/>
          <w:numId w:val="1006"/>
        </w:numPr>
      </w:pPr>
      <w:r>
        <w:t xml:space="preserve">P-COV achieves 0.00°-0.01° angle across all tested conditions</w:t>
      </w:r>
    </w:p>
    <w:p>
      <w:pPr>
        <w:pStyle w:val="Compact"/>
        <w:numPr>
          <w:ilvl w:val="1"/>
          <w:numId w:val="1006"/>
        </w:numPr>
      </w:pPr>
      <w:r>
        <w:t xml:space="preserve">The small deviation from 0° is due to floating-point precision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degradation on non-IID data</w:t>
      </w:r>
    </w:p>
    <w:p>
      <w:pPr>
        <w:pStyle w:val="Compact"/>
        <w:numPr>
          <w:ilvl w:val="1"/>
          <w:numId w:val="1007"/>
        </w:numPr>
      </w:pPr>
      <w:r>
        <w:t xml:space="preserve">P-COV is equally accurate regardless of data heterogeneity</w:t>
      </w:r>
    </w:p>
    <w:p>
      <w:pPr>
        <w:pStyle w:val="Compact"/>
        <w:numPr>
          <w:ilvl w:val="1"/>
          <w:numId w:val="1007"/>
        </w:numPr>
      </w:pPr>
      <w:r>
        <w:t xml:space="preserve">This is the key advantage for real federated learning scenarios where clients have different data distributions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Perfect scalability</w:t>
      </w:r>
    </w:p>
    <w:p>
      <w:pPr>
        <w:pStyle w:val="Compact"/>
        <w:numPr>
          <w:ilvl w:val="1"/>
          <w:numId w:val="1008"/>
        </w:numPr>
      </w:pPr>
      <w:r>
        <w:t xml:space="preserve">P-COV works equally well with 5, 10, 20, or 50 clients</w:t>
      </w:r>
    </w:p>
    <w:p>
      <w:pPr>
        <w:pStyle w:val="Compact"/>
        <w:numPr>
          <w:ilvl w:val="1"/>
          <w:numId w:val="1008"/>
        </w:numPr>
      </w:pPr>
      <w:r>
        <w:t xml:space="preserve">The mathematical identity holds regardless of how data is partitioned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Classification accuracy preserved</w:t>
      </w:r>
    </w:p>
    <w:p>
      <w:pPr>
        <w:pStyle w:val="Compact"/>
        <w:numPr>
          <w:ilvl w:val="1"/>
          <w:numId w:val="1009"/>
        </w:numPr>
      </w:pPr>
      <w:r>
        <w:t xml:space="preserve">P-COV maintains identical downstream task performance</w:t>
      </w:r>
    </w:p>
    <w:p>
      <w:pPr>
        <w:pStyle w:val="Compact"/>
        <w:numPr>
          <w:ilvl w:val="1"/>
          <w:numId w:val="1009"/>
        </w:numPr>
      </w:pPr>
      <w:r>
        <w:t xml:space="preserve">No information loss compared to centralized PCA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Communication efficiency</w:t>
      </w:r>
    </w:p>
    <w:p>
      <w:pPr>
        <w:pStyle w:val="Compact"/>
        <w:numPr>
          <w:ilvl w:val="1"/>
          <w:numId w:val="1010"/>
        </w:numPr>
      </w:pPr>
      <w:r>
        <w:t xml:space="preserve">Only 2 communication rounds required</w:t>
      </w:r>
    </w:p>
    <w:p>
      <w:pPr>
        <w:pStyle w:val="Compact"/>
        <w:numPr>
          <w:ilvl w:val="1"/>
          <w:numId w:val="1010"/>
        </w:numPr>
      </w:pPr>
      <w:r>
        <w:t xml:space="preserve">Communication cost is O(d²) per client, independent of sample count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implementation"/>
    <w:p>
      <w:pPr>
        <w:pStyle w:val="Heading2"/>
      </w:pPr>
      <w:r>
        <w:t xml:space="preserve">8. Implementation</w:t>
      </w:r>
    </w:p>
    <w:bookmarkStart w:id="50" w:name="python-code"/>
    <w:p>
      <w:pPr>
        <w:pStyle w:val="Heading3"/>
      </w:pPr>
      <w:r>
        <w:t xml:space="preserve">8.1 Python Code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PooledCovariancePCA: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Pooled Covariance PCA (P-COV) for distributed/federated learning.</w:t>
      </w:r>
      <w:r>
        <w:br/>
      </w:r>
      <w:r>
        <w:br/>
      </w:r>
      <w:r>
        <w:rPr>
          <w:rStyle w:val="CommentTok"/>
        </w:rPr>
        <w:t xml:space="preserve">    Computes exact global PCA by aggregating local covariance matrices</w:t>
      </w:r>
      <w:r>
        <w:br/>
      </w:r>
      <w:r>
        <w:rPr>
          <w:rStyle w:val="CommentTok"/>
        </w:rPr>
        <w:t xml:space="preserve">    with between-client mean correction.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n_components):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client_data):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Fit PCA on distributed data.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client_data: List of numpy arrays, one per client.</w:t>
      </w:r>
      <w:r>
        <w:br/>
      </w:r>
      <w:r>
        <w:rPr>
          <w:rStyle w:val="CommentTok"/>
        </w:rPr>
        <w:t xml:space="preserve">                        Each array has shape (n_samples, n_features).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1: Collect local statistics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client_data: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    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np.mean(X,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np.cov(X, rowvar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Use N, not N-1</w:t>
      </w:r>
      <w:r>
        <w:br/>
      </w:r>
      <w:r>
        <w:rPr>
          <w:rStyle w:val="NormalTok"/>
        </w:rPr>
        <w:t xml:space="preserve">            stats.append((n, mu, C))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2: Compute global mean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_,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mu,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2: Compute global covariance with correction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.mean_)</w:t>
      </w:r>
      <w:r>
        <w:br/>
      </w:r>
      <w:r>
        <w:rPr>
          <w:rStyle w:val="NormalTok"/>
        </w:rPr>
        <w:t xml:space="preserve">        C_global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np.zeros((d, d))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mu,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stats:</w:t>
      </w:r>
      <w:r>
        <w:br/>
      </w:r>
      <w:r>
        <w:rPr>
          <w:rStyle w:val="NormalTok"/>
        </w:rPr>
        <w:t xml:space="preserve">    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Key: add between-client mean correction</w:t>
      </w:r>
      <w:r>
        <w:br/>
      </w:r>
      <w:r>
        <w:rPr>
          <w:rStyle w:val="NormalTok"/>
        </w:rPr>
        <w:t xml:space="preserve">            C_global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np.outer(diff, diff))</w:t>
      </w:r>
      <w:r>
        <w:br/>
      </w:r>
      <w:r>
        <w:br/>
      </w:r>
      <w:r>
        <w:rPr>
          <w:rStyle w:val="NormalTok"/>
        </w:rPr>
        <w:t xml:space="preserve">        C_global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2: Eigendecomposition</w:t>
      </w:r>
      <w:r>
        <w:br/>
      </w:r>
      <w:r>
        <w:rPr>
          <w:rStyle w:val="NormalTok"/>
        </w:rPr>
        <w:t xml:space="preserve">        eigenvalues,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np.linalg.eigh(C_global)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descending eigenvalue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np.argsort(eigenvalues)[::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eigenvalues[idx]</w:t>
      </w:r>
      <w:r>
        <w:br/>
      </w:r>
      <w:r>
        <w:rPr>
          <w:rStyle w:val="NormalTok"/>
        </w:rPr>
        <w:t xml:space="preserve">        eigenvectors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idx]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top k components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eigenvectors[:, 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.n_components].T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.explained_variance_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eigenvalues[: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.n_components]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"""Project data onto principal components."""</w:t>
      </w:r>
      <w:r>
        <w:br/>
      </w:r>
      <w:r>
        <w:rPr>
          <w:rStyle w:val="NormalTok"/>
        </w:rPr>
        <w:t xml:space="preserve">        X_centered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.mean_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X_centered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.components_.T</w:t>
      </w:r>
    </w:p>
    <w:bookmarkEnd w:id="50"/>
    <w:bookmarkStart w:id="51" w:name="usage-example"/>
    <w:p>
      <w:pPr>
        <w:pStyle w:val="Heading3"/>
      </w:pPr>
      <w:r>
        <w:t xml:space="preserve">8.2 Usage Example</w:t>
      </w:r>
    </w:p>
    <w:p>
      <w:pPr>
        <w:pStyle w:val="SourceCode"/>
      </w:pPr>
      <w:r>
        <w:rPr>
          <w:rStyle w:val="CommentTok"/>
        </w:rPr>
        <w:t xml:space="preserve"># Each client has local data (not shared)</w:t>
      </w:r>
      <w:r>
        <w:br/>
      </w:r>
      <w:r>
        <w:rPr>
          <w:rStyle w:val="NormalTok"/>
        </w:rPr>
        <w:t xml:space="preserve">client_1_data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Hospital A</w:t>
      </w:r>
      <w:r>
        <w:br/>
      </w:r>
      <w:r>
        <w:rPr>
          <w:rStyle w:val="NormalTok"/>
        </w:rPr>
        <w:t xml:space="preserve">client_2_data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Hospital B</w:t>
      </w:r>
      <w:r>
        <w:br/>
      </w:r>
      <w:r>
        <w:rPr>
          <w:rStyle w:val="NormalTok"/>
        </w:rPr>
        <w:t xml:space="preserve">client_3_data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784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Hospital C</w:t>
      </w:r>
      <w:r>
        <w:br/>
      </w:r>
      <w:r>
        <w:br/>
      </w:r>
      <w:r>
        <w:rPr>
          <w:rStyle w:val="CommentTok"/>
        </w:rPr>
        <w:t xml:space="preserve"># Fit P-COV (only statistics are shared, not raw data)</w:t>
      </w:r>
      <w:r>
        <w:br/>
      </w:r>
      <w:r>
        <w:rPr>
          <w:rStyle w:val="NormalTok"/>
        </w:rPr>
        <w:t xml:space="preserve">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PooledCovariancePCA(n_components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pca.fit([client_1_data, client_2_data, client_3_data])</w:t>
      </w:r>
      <w:r>
        <w:br/>
      </w:r>
      <w:r>
        <w:br/>
      </w:r>
      <w:r>
        <w:rPr>
          <w:rStyle w:val="CommentTok"/>
        </w:rPr>
        <w:t xml:space="preserve"># Transform new data</w:t>
      </w:r>
      <w:r>
        <w:br/>
      </w:r>
      <w:r>
        <w:rPr>
          <w:rStyle w:val="NormalTok"/>
        </w:rPr>
        <w:t xml:space="preserve">test_data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pca.transform(test_data)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dvantages-and-limitations"/>
    <w:p>
      <w:pPr>
        <w:pStyle w:val="Heading2"/>
      </w:pPr>
      <w:r>
        <w:t xml:space="preserve">9. Advantages and Limitations</w:t>
      </w:r>
    </w:p>
    <w:bookmarkStart w:id="53" w:name="advantages"/>
    <w:p>
      <w:pPr>
        <w:pStyle w:val="Heading3"/>
      </w:pPr>
      <w:r>
        <w:t xml:space="preserve">9.1 Advantages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Advantage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Mathematically identical to centralized PCA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Privacy-preserving</w:t>
            </w:r>
          </w:p>
        </w:tc>
        <w:tc>
          <w:tcPr/>
          <w:p>
            <w:pPr>
              <w:pStyle w:val="Compact"/>
            </w:pPr>
            <w:r>
              <w:t xml:space="preserve">Only statistics shared, not raw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Non-IID robust</w:t>
            </w:r>
          </w:p>
        </w:tc>
        <w:tc>
          <w:tcPr/>
          <w:p>
            <w:pPr>
              <w:pStyle w:val="Compact"/>
            </w:pPr>
            <w:r>
              <w:t xml:space="preserve">No degradation on heterogeneous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Easy to implement and understand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Efficient</w:t>
            </w:r>
          </w:p>
        </w:tc>
        <w:tc>
          <w:tcPr/>
          <w:p>
            <w:pPr>
              <w:pStyle w:val="Compact"/>
            </w:pPr>
            <w:r>
              <w:t xml:space="preserve">Only 2 communication rounds</w:t>
            </w:r>
          </w:p>
        </w:tc>
      </w:tr>
    </w:tbl>
    <w:bookmarkEnd w:id="53"/>
    <w:bookmarkStart w:id="54" w:name="limitations"/>
    <w:p>
      <w:pPr>
        <w:pStyle w:val="Heading3"/>
      </w:pPr>
      <w:r>
        <w:t xml:space="preserve">9.2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O(d²) communication</w:t>
            </w:r>
          </w:p>
        </w:tc>
        <w:tc>
          <w:tcPr/>
          <w:p>
            <w:pPr>
              <w:pStyle w:val="Compact"/>
            </w:pPr>
            <w:r>
              <w:t xml:space="preserve">Use compression (quantization, low-rank)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Requires all clients</w:t>
            </w:r>
          </w:p>
        </w:tc>
        <w:tc>
          <w:tcPr/>
          <w:p>
            <w:pPr>
              <w:pStyle w:val="Compact"/>
            </w:pPr>
            <w:r>
              <w:t xml:space="preserve">Use streaming variant for dynamic participation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formal privacy guarantee</w:t>
            </w:r>
          </w:p>
        </w:tc>
        <w:tc>
          <w:tcPr/>
          <w:p>
            <w:pPr>
              <w:pStyle w:val="Compact"/>
            </w:pPr>
            <w:r>
              <w:t xml:space="preserve">Combine with differential privacy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references"/>
    <w:p>
      <w:pPr>
        <w:pStyle w:val="Heading2"/>
      </w:pPr>
      <w:r>
        <w:t xml:space="preserve">10. References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Grammenos, A., et al.</w:t>
      </w:r>
      <w:r>
        <w:t xml:space="preserve"> </w:t>
      </w:r>
      <w:r>
        <w:t xml:space="preserve">(2020).</w:t>
      </w:r>
      <w:r>
        <w:t xml:space="preserve"> </w:t>
      </w:r>
      <w:r>
        <w:t xml:space="preserve">“Federated Principal Component Analysis.”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Foundational work on federated PCA methods.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Fan, J., Wang, D., Wang, K., &amp; Zhu, Z.</w:t>
      </w:r>
      <w:r>
        <w:t xml:space="preserve"> </w:t>
      </w:r>
      <w:r>
        <w:t xml:space="preserve">(2019).</w:t>
      </w:r>
      <w:r>
        <w:t xml:space="preserve"> </w:t>
      </w:r>
      <w:r>
        <w:t xml:space="preserve">“Distributed Estimation of Principal Eigenspaces.”</w:t>
      </w:r>
      <w:r>
        <w:t xml:space="preserve"> </w:t>
      </w:r>
      <w:r>
        <w:rPr>
          <w:i/>
          <w:iCs/>
        </w:rPr>
        <w:t xml:space="preserve">Annals of Statistics</w:t>
      </w:r>
      <w:r>
        <w:t xml:space="preserve">, 47(6), 3009-3031.</w:t>
      </w:r>
    </w:p>
    <w:p>
      <w:pPr>
        <w:pStyle w:val="Compact"/>
        <w:numPr>
          <w:ilvl w:val="1"/>
          <w:numId w:val="1013"/>
        </w:numPr>
      </w:pPr>
      <w:r>
        <w:t xml:space="preserve">Theoretical analysis of distributed PCA.</w:t>
      </w:r>
    </w:p>
    <w:p>
      <w:pPr>
        <w:pStyle w:val="Compact"/>
        <w:numPr>
          <w:ilvl w:val="1"/>
          <w:numId w:val="1013"/>
        </w:numPr>
      </w:pPr>
      <w:r>
        <w:t xml:space="preserve">DOI: 10.1214/18-AOS1713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Chen, Y., &amp; Wainwright, M. J.</w:t>
      </w:r>
      <w:r>
        <w:t xml:space="preserve"> </w:t>
      </w:r>
      <w:r>
        <w:t xml:space="preserve">(2015).</w:t>
      </w:r>
      <w:r>
        <w:t xml:space="preserve"> </w:t>
      </w:r>
      <w:r>
        <w:t xml:space="preserve">“Fast low-rank estimation by projected gradient descent: General statistical and algorithmic guarantees.”</w:t>
      </w:r>
      <w:r>
        <w:t xml:space="preserve"> </w:t>
      </w:r>
      <w:r>
        <w:rPr>
          <w:i/>
          <w:iCs/>
        </w:rPr>
        <w:t xml:space="preserve">arXiv preprint arXiv:1509.03025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Balcan, M. F., et al.</w:t>
      </w:r>
      <w:r>
        <w:t xml:space="preserve"> </w:t>
      </w:r>
      <w:r>
        <w:t xml:space="preserve">(2014).</w:t>
      </w:r>
      <w:r>
        <w:t xml:space="preserve"> </w:t>
      </w:r>
      <w:r>
        <w:t xml:space="preserve">“Distributed PCA and k-Means Clustering.”</w:t>
      </w:r>
      <w:r>
        <w:t xml:space="preserve"> </w:t>
      </w:r>
      <w:r>
        <w:rPr>
          <w:i/>
          <w:iCs/>
        </w:rPr>
        <w:t xml:space="preserve">Proceedings of the NIPS Workshop on Distributed Machine Learning and Matrix Computations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Liang, Y., et al.</w:t>
      </w:r>
      <w:r>
        <w:t xml:space="preserve"> </w:t>
      </w:r>
      <w:r>
        <w:t xml:space="preserve">(2014).</w:t>
      </w:r>
      <w:r>
        <w:t xml:space="preserve"> </w:t>
      </w:r>
      <w:r>
        <w:t xml:space="preserve">“Communication Efficient Distributed PCA.”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Li, Q., et al.</w:t>
      </w:r>
      <w:r>
        <w:t xml:space="preserve"> </w:t>
      </w:r>
      <w:r>
        <w:t xml:space="preserve">(2022).</w:t>
      </w:r>
      <w:r>
        <w:t xml:space="preserve"> </w:t>
      </w:r>
      <w:r>
        <w:t xml:space="preserve">“Federated PCA on Grassmann Manifold for Anomaly Detection in IoT Networks.”</w:t>
      </w:r>
      <w:r>
        <w:t xml:space="preserve"> </w:t>
      </w:r>
      <w:r>
        <w:rPr>
          <w:i/>
          <w:iCs/>
        </w:rPr>
        <w:t xml:space="preserve">IEEE INFOCOM 2022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Ge, J., et al.</w:t>
      </w:r>
      <w:r>
        <w:t xml:space="preserve"> </w:t>
      </w:r>
      <w:r>
        <w:t xml:space="preserve">(2023).</w:t>
      </w:r>
      <w:r>
        <w:t xml:space="preserve"> </w:t>
      </w:r>
      <w:r>
        <w:t xml:space="preserve">“Federated PCA for Biomedical Applications.”</w:t>
      </w:r>
      <w:r>
        <w:t xml:space="preserve"> </w:t>
      </w:r>
      <w:r>
        <w:rPr>
          <w:i/>
          <w:iCs/>
        </w:rPr>
        <w:t xml:space="preserve">PMC/NIH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URL: https://pmc.ncbi.nlm.nih.gov/articles/PMC9710634/</w:t>
      </w:r>
    </w:p>
    <w:p>
      <w:r>
        <w:pict>
          <v:rect style="width:0;height:1.5pt" o:hralign="center" o:hrstd="t" o:hr="t"/>
        </w:pict>
      </w:r>
    </w:p>
    <w:bookmarkEnd w:id="56"/>
    <w:bookmarkStart w:id="57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P-COV (Pooled Covariance PCA) is the recommended method for distributed PCA when: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Exact results are required</w:t>
      </w:r>
      <w:r>
        <w:t xml:space="preserve"> </w:t>
      </w:r>
      <w:r>
        <w:t xml:space="preserve">- P-COV guarantees identical results to centralized PCA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is heterogeneous (non-IID)</w:t>
      </w:r>
      <w:r>
        <w:t xml:space="preserve"> </w:t>
      </w:r>
      <w:r>
        <w:t xml:space="preserve">- P-COV shows no degradation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Privacy is important</w:t>
      </w:r>
      <w:r>
        <w:t xml:space="preserve"> </w:t>
      </w:r>
      <w:r>
        <w:t xml:space="preserve">- Only summary statistics are shared</w:t>
      </w:r>
    </w:p>
    <w:p>
      <w:pPr>
        <w:pStyle w:val="FirstParagraph"/>
      </w:pPr>
      <w:r>
        <w:t xml:space="preserve">The key insight is the</w:t>
      </w:r>
      <w:r>
        <w:t xml:space="preserve"> </w:t>
      </w:r>
      <w:r>
        <w:rPr>
          <w:b/>
          <w:bCs/>
        </w:rPr>
        <w:t xml:space="preserve">between-client mean correction</w:t>
      </w:r>
      <w:r>
        <w:t xml:space="preserve"> </w:t>
      </w:r>
      <w:r>
        <w:t xml:space="preserve">term, which accounts for differences in local data distributions and ensures exact reconstruction of the global covariance matrix.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the Distributed PCA Research Project</w:t>
      </w:r>
      <w:r>
        <w:t xml:space="preserve"> </w:t>
      </w:r>
      <w:r>
        <w:rPr>
          <w:i/>
          <w:iCs/>
        </w:rPr>
        <w:t xml:space="preserve">Repository: https://github.com/wxl387/distributed-pca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2026-01-29T02:51:40Z</dcterms:created>
  <dcterms:modified xsi:type="dcterms:W3CDTF">2026-01-29T02:51:40Z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