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139401118c9b250a1723e0e3310dc34efa8222"/>
    <w:p>
      <w:pPr>
        <w:pStyle w:val="Heading1"/>
      </w:pPr>
      <w:r>
        <w:t xml:space="preserve">Pooled Covariance PCA (P-COV) for Distributed/Federated Learning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Pooled Covariance PCA (P-COV) is a distributed principal component analysis method that enables multiple data holders (e.g., hospitals, institutions) to collaboratively compute a global PCA</w:t>
      </w:r>
      <w:r>
        <w:t xml:space="preserve"> </w:t>
      </w:r>
      <w:r>
        <w:rPr>
          <w:b/>
          <w:bCs/>
        </w:rPr>
        <w:t xml:space="preserve">without sharing raw data</w:t>
      </w:r>
      <w:r>
        <w:t xml:space="preserve">. Instead, each participant only shares summary statistics (mean, covariance, and sample count), yet the result is mathematically identical to performing PCA on the combined dataset.</w:t>
      </w:r>
    </w:p>
    <w:p>
      <w:pPr>
        <w:pStyle w:val="BodyText"/>
      </w:pPr>
      <w:r>
        <w:t xml:space="preserve">This document describes the P-COV algorithm, its mathematical foundations, and implementation details.</w:t>
      </w:r>
    </w:p>
    <w:p>
      <w:r>
        <w:pict>
          <v:rect style="width:0;height:1.5pt" o:hralign="center" o:hrstd="t" o:hr="t"/>
        </w:pict>
      </w:r>
    </w:p>
    <w:bookmarkEnd w:id="9"/>
    <w:bookmarkStart w:id="13" w:name="problem-setting"/>
    <w:p>
      <w:pPr>
        <w:pStyle w:val="Heading2"/>
      </w:pPr>
      <w:r>
        <w:t xml:space="preserve">2. Problem Setting</w:t>
      </w:r>
    </w:p>
    <w:bookmarkStart w:id="10" w:name="scenario"/>
    <w:p>
      <w:pPr>
        <w:pStyle w:val="Heading3"/>
      </w:pPr>
      <w:r>
        <w:t xml:space="preserve">2.1 Scenario</w:t>
      </w:r>
    </w:p>
    <w:p>
      <w:pPr>
        <w:pStyle w:val="FirstParagraph"/>
      </w:pPr>
      <w:r>
        <w:t xml:space="preserve">Consider K data holders (clients), each possessing a local dataset:</w:t>
      </w:r>
    </w:p>
    <w:p>
      <w:pPr>
        <w:pStyle w:val="Compact"/>
        <w:numPr>
          <w:ilvl w:val="0"/>
          <w:numId w:val="1001"/>
        </w:numPr>
      </w:pPr>
      <w:r>
        <w:t xml:space="preserve">Client 1:</w:t>
      </w:r>
      <w:r>
        <w:t xml:space="preserve"> </w:t>
      </w:r>
      <w:r>
        <w:rPr>
          <w:b/>
          <w:bCs/>
        </w:rPr>
        <w:t xml:space="preserve">X₁</w:t>
      </w:r>
      <w:r>
        <w:t xml:space="preserve"> </w:t>
      </w:r>
      <w:r>
        <w:t xml:space="preserve">∈ ℝⁿ¹ˣᵈ (n₁ samples, d features)</w:t>
      </w:r>
    </w:p>
    <w:p>
      <w:pPr>
        <w:pStyle w:val="Compact"/>
        <w:numPr>
          <w:ilvl w:val="0"/>
          <w:numId w:val="1001"/>
        </w:numPr>
      </w:pPr>
      <w:r>
        <w:t xml:space="preserve">Client 2:</w:t>
      </w:r>
      <w:r>
        <w:t xml:space="preserve"> </w:t>
      </w:r>
      <w:r>
        <w:rPr>
          <w:b/>
          <w:bCs/>
        </w:rPr>
        <w:t xml:space="preserve">X₂</w:t>
      </w:r>
      <w:r>
        <w:t xml:space="preserve"> </w:t>
      </w:r>
      <w:r>
        <w:t xml:space="preserve">∈ ℝⁿ²ˣᵈ (n₂ samples, d features)</w:t>
      </w:r>
    </w:p>
    <w:p>
      <w:pPr>
        <w:pStyle w:val="Compact"/>
        <w:numPr>
          <w:ilvl w:val="0"/>
          <w:numId w:val="1001"/>
        </w:numPr>
      </w:pP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t xml:space="preserve">Client K:</w:t>
      </w:r>
      <w:r>
        <w:t xml:space="preserve"> </w:t>
      </w:r>
      <w:r>
        <w:rPr>
          <w:b/>
          <w:bCs/>
        </w:rPr>
        <w:t xml:space="preserve">Xₖ</w:t>
      </w:r>
      <w:r>
        <w:t xml:space="preserve"> </w:t>
      </w:r>
      <w:r>
        <w:t xml:space="preserve">∈ ℝⁿᵏˣᵈ (nₖ samples, d features)</w:t>
      </w:r>
    </w:p>
    <w:bookmarkEnd w:id="10"/>
    <w:bookmarkStart w:id="11" w:name="goal"/>
    <w:p>
      <w:pPr>
        <w:pStyle w:val="Heading3"/>
      </w:pPr>
      <w:r>
        <w:t xml:space="preserve">2.2 Goal</w:t>
      </w:r>
    </w:p>
    <w:p>
      <w:pPr>
        <w:pStyle w:val="FirstParagraph"/>
      </w:pPr>
      <w:r>
        <w:t xml:space="preserve">Compute the principal components of the combined dataset:</w:t>
      </w:r>
    </w:p>
    <w:p>
      <w:pPr>
        <w:pStyle w:val="BodyText"/>
      </w:pPr>
      <w:r>
        <w:rPr>
          <w:b/>
          <w:bCs/>
        </w:rPr>
        <w:t xml:space="preserve">X</w:t>
      </w:r>
      <w:r>
        <w:t xml:space="preserve"> </w:t>
      </w:r>
      <w:r>
        <w:t xml:space="preserve">= [X₁; X₂; …; Xₖ] ∈ ℝᴺˣᵈ</w:t>
      </w:r>
    </w:p>
    <w:p>
      <w:pPr>
        <w:pStyle w:val="BodyText"/>
      </w:pPr>
      <w:r>
        <w:t xml:space="preserve">where N = n₁ + n₂ + … + nₖ,</w:t>
      </w:r>
      <w:r>
        <w:t xml:space="preserve"> </w:t>
      </w:r>
      <w:r>
        <w:rPr>
          <w:b/>
          <w:bCs/>
        </w:rPr>
        <w:t xml:space="preserve">without centralizing the raw data</w:t>
      </w:r>
      <w:r>
        <w:t xml:space="preserve">.</w:t>
      </w:r>
    </w:p>
    <w:bookmarkEnd w:id="11"/>
    <w:bookmarkStart w:id="12" w:name="constraints"/>
    <w:p>
      <w:pPr>
        <w:pStyle w:val="Heading3"/>
      </w:pPr>
      <w:r>
        <w:t xml:space="preserve">2.3 Constraints</w:t>
      </w:r>
    </w:p>
    <w:p>
      <w:pPr>
        <w:pStyle w:val="Compact"/>
        <w:numPr>
          <w:ilvl w:val="0"/>
          <w:numId w:val="1002"/>
        </w:numPr>
      </w:pPr>
      <w:r>
        <w:t xml:space="preserve">Raw data</w:t>
      </w:r>
      <w:r>
        <w:t xml:space="preserve"> </w:t>
      </w:r>
      <w:r>
        <w:rPr>
          <w:b/>
          <w:bCs/>
        </w:rPr>
        <w:t xml:space="preserve">Xₖ</w:t>
      </w:r>
      <w:r>
        <w:t xml:space="preserve"> </w:t>
      </w:r>
      <w:r>
        <w:t xml:space="preserve">cannot leave client k (privacy requirement)</w:t>
      </w:r>
    </w:p>
    <w:p>
      <w:pPr>
        <w:pStyle w:val="Compact"/>
        <w:numPr>
          <w:ilvl w:val="0"/>
          <w:numId w:val="1002"/>
        </w:numPr>
      </w:pPr>
      <w:r>
        <w:t xml:space="preserve">Only aggregated statistics may be shared</w:t>
      </w:r>
    </w:p>
    <w:p>
      <w:pPr>
        <w:pStyle w:val="Compact"/>
        <w:numPr>
          <w:ilvl w:val="0"/>
          <w:numId w:val="1002"/>
        </w:numPr>
      </w:pPr>
      <w:r>
        <w:t xml:space="preserve">The result must be identical to centralized PCA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mathematical-foundation"/>
    <w:p>
      <w:pPr>
        <w:pStyle w:val="Heading2"/>
      </w:pPr>
      <w:r>
        <w:t xml:space="preserve">3. Mathematical Foundation</w:t>
      </w:r>
    </w:p>
    <w:bookmarkStart w:id="14" w:name="centralized-pca-reference"/>
    <w:p>
      <w:pPr>
        <w:pStyle w:val="Heading3"/>
      </w:pPr>
      <w:r>
        <w:t xml:space="preserve">3.1 Centralized PCA (Reference)</w:t>
      </w:r>
    </w:p>
    <w:p>
      <w:pPr>
        <w:pStyle w:val="FirstParagraph"/>
      </w:pPr>
      <w:r>
        <w:t xml:space="preserve">In standard PCA, given data matrix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∈ ℝᴺˣᵈ:</w:t>
      </w:r>
    </w:p>
    <w:p>
      <w:pPr>
        <w:numPr>
          <w:ilvl w:val="0"/>
          <w:numId w:val="1003"/>
        </w:numPr>
      </w:pPr>
      <w:r>
        <w:t xml:space="preserve">Compute the global mean: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μ</w:t>
      </w:r>
      <w:r>
        <w:t xml:space="preserve"> </w:t>
      </w:r>
      <w:r>
        <w:t xml:space="preserve">= (1/N) Σᵢ</w:t>
      </w:r>
      <w:r>
        <w:t xml:space="preserve"> </w:t>
      </w:r>
      <w:r>
        <w:rPr>
          <w:b/>
          <w:bCs/>
        </w:rPr>
        <w:t xml:space="preserve">xᵢ</w:t>
      </w:r>
    </w:p>
    <w:p>
      <w:pPr>
        <w:numPr>
          <w:ilvl w:val="0"/>
          <w:numId w:val="1003"/>
        </w:numPr>
      </w:pPr>
      <w:r>
        <w:t xml:space="preserve">Compute the covariance matrix: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(1/N) Σᵢ 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numPr>
          <w:ilvl w:val="0"/>
          <w:numId w:val="1003"/>
        </w:numPr>
      </w:pPr>
      <w:r>
        <w:t xml:space="preserve">Perform eigendecomposition: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VΛVᵀ</w:t>
      </w:r>
    </w:p>
    <w:p>
      <w:pPr>
        <w:numPr>
          <w:ilvl w:val="0"/>
          <w:numId w:val="1003"/>
        </w:numPr>
      </w:pPr>
      <w:r>
        <w:t xml:space="preserve">Principal components are the top k eigenvectors of</w:t>
      </w:r>
      <w:r>
        <w:t xml:space="preserve"> </w:t>
      </w:r>
      <w:r>
        <w:rPr>
          <w:b/>
          <w:bCs/>
        </w:rPr>
        <w:t xml:space="preserve">V</w:t>
      </w:r>
    </w:p>
    <w:bookmarkEnd w:id="14"/>
    <w:bookmarkStart w:id="15" w:name="key-mathematical-identity"/>
    <w:p>
      <w:pPr>
        <w:pStyle w:val="Heading3"/>
      </w:pPr>
      <w:r>
        <w:t xml:space="preserve">3.2 Key Mathematical Identity</w:t>
      </w:r>
    </w:p>
    <w:p>
      <w:pPr>
        <w:pStyle w:val="FirstParagraph"/>
      </w:pPr>
      <w:r>
        <w:t xml:space="preserve">The global covariance can be decomposed using the</w:t>
      </w:r>
      <w:r>
        <w:t xml:space="preserve"> </w:t>
      </w:r>
      <w:r>
        <w:rPr>
          <w:b/>
          <w:bCs/>
        </w:rPr>
        <w:t xml:space="preserve">law of total variance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Var(X) = E[Var(X|Group)] + Var(E[X|Group])</w:t>
      </w:r>
    </w:p>
    <w:p>
      <w:pPr>
        <w:pStyle w:val="BodyText"/>
      </w:pPr>
      <w:r>
        <w:t xml:space="preserve">In matrix form for our distributed setting:</w:t>
      </w:r>
    </w:p>
    <w:p>
      <w:pPr>
        <w:pStyle w:val="BodyText"/>
      </w:pPr>
      <w:r>
        <w:rPr>
          <w:b/>
          <w:bCs/>
        </w:rPr>
        <w:t xml:space="preserve">C_global</w:t>
      </w:r>
      <w:r>
        <w:t xml:space="preserve"> </w:t>
      </w:r>
      <w:r>
        <w:t xml:space="preserve">= (1/N) Σₖ nₖ · [</w:t>
      </w:r>
      <w:r>
        <w:rPr>
          <w:b/>
          <w:bCs/>
        </w:rPr>
        <w:t xml:space="preserve">Cₖ</w:t>
      </w:r>
      <w:r>
        <w:t xml:space="preserve"> </w:t>
      </w:r>
      <w:r>
        <w:t xml:space="preserve">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Cₖ</w:t>
      </w:r>
      <w:r>
        <w:t xml:space="preserve"> </w:t>
      </w:r>
      <w:r>
        <w:t xml:space="preserve">is the local covariance of client 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 </w:t>
      </w:r>
      <w:r>
        <w:t xml:space="preserve">is the local mean of client 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is the global mean</w:t>
      </w:r>
      <w:r>
        <w:t xml:space="preserve"> </w:t>
      </w:r>
      <w:r>
        <w:t xml:space="preserve">- nₖ is the sample count of client k</w:t>
      </w:r>
    </w:p>
    <w:p>
      <w:pPr>
        <w:pStyle w:val="BodyText"/>
      </w:pPr>
      <w:r>
        <w:t xml:space="preserve">This identity shows that the global covariance can be exactly reconstructed from local statistics.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-cov-algorithm"/>
    <w:p>
      <w:pPr>
        <w:pStyle w:val="Heading2"/>
      </w:pPr>
      <w:r>
        <w:t xml:space="preserve">4. P-COV Algorithm</w:t>
      </w:r>
    </w:p>
    <w:bookmarkStart w:id="17" w:name="algorithm-steps"/>
    <w:p>
      <w:pPr>
        <w:pStyle w:val="Heading3"/>
      </w:pPr>
      <w:r>
        <w:t xml:space="preserve">4.1 Algorithm Steps</w:t>
      </w:r>
    </w:p>
    <w:p>
      <w:pPr>
        <w:pStyle w:val="FirstParagraph"/>
      </w:pPr>
      <w:r>
        <w:rPr>
          <w:b/>
          <w:bCs/>
        </w:rPr>
        <w:t xml:space="preserve">Phase 1: Local Computation (at each client k)</w:t>
      </w:r>
    </w:p>
    <w:p>
      <w:pPr>
        <w:pStyle w:val="SourceCode"/>
      </w:pPr>
      <w:r>
        <w:rPr>
          <w:rStyle w:val="VerbatimChar"/>
        </w:rPr>
        <w:t xml:space="preserve">Input: Local data Xₖ ∈ ℝⁿᵏˣᵈ</w:t>
      </w:r>
      <w:r>
        <w:br/>
      </w:r>
      <w:r>
        <w:br/>
      </w:r>
      <w:r>
        <w:rPr>
          <w:rStyle w:val="VerbatimChar"/>
        </w:rPr>
        <w:t xml:space="preserve">1. Compute local sample count:</w:t>
      </w:r>
      <w:r>
        <w:br/>
      </w:r>
      <w:r>
        <w:rPr>
          <w:rStyle w:val="VerbatimChar"/>
        </w:rPr>
        <w:t xml:space="preserve">   nₖ = number of rows in Xₖ</w:t>
      </w:r>
      <w:r>
        <w:br/>
      </w:r>
      <w:r>
        <w:br/>
      </w:r>
      <w:r>
        <w:rPr>
          <w:rStyle w:val="VerbatimChar"/>
        </w:rPr>
        <w:t xml:space="preserve">2. Compute local mean:</w:t>
      </w:r>
      <w:r>
        <w:br/>
      </w:r>
      <w:r>
        <w:rPr>
          <w:rStyle w:val="VerbatimChar"/>
        </w:rPr>
        <w:t xml:space="preserve">   μₖ = (1/nₖ) Σᵢ xₖᵢ</w:t>
      </w:r>
      <w:r>
        <w:br/>
      </w:r>
      <w:r>
        <w:br/>
      </w:r>
      <w:r>
        <w:rPr>
          <w:rStyle w:val="VerbatimChar"/>
        </w:rPr>
        <w:t xml:space="preserve">3. Compute local covariance:</w:t>
      </w:r>
      <w:r>
        <w:br/>
      </w:r>
      <w:r>
        <w:rPr>
          <w:rStyle w:val="VerbatimChar"/>
        </w:rPr>
        <w:t xml:space="preserve">   Cₖ = (1/nₖ) Σᵢ (xₖᵢ - μₖ)(xₖᵢ - μₖ)ᵀ</w:t>
      </w:r>
      <w:r>
        <w:br/>
      </w:r>
      <w:r>
        <w:br/>
      </w:r>
      <w:r>
        <w:rPr>
          <w:rStyle w:val="VerbatimChar"/>
        </w:rPr>
        <w:t xml:space="preserve">Output: Send (nₖ, μₖ, Cₖ) to server</w:t>
      </w:r>
    </w:p>
    <w:p>
      <w:pPr>
        <w:pStyle w:val="FirstParagraph"/>
      </w:pPr>
      <w:r>
        <w:rPr>
          <w:b/>
          <w:bCs/>
        </w:rPr>
        <w:t xml:space="preserve">Phase 2: Global Aggregation (at server)</w:t>
      </w:r>
    </w:p>
    <w:p>
      <w:pPr>
        <w:pStyle w:val="SourceCode"/>
      </w:pPr>
      <w:r>
        <w:rPr>
          <w:rStyle w:val="VerbatimChar"/>
        </w:rPr>
        <w:t xml:space="preserve">Input: Statistics {(n₁, μ₁, C₁), ..., (nₖ, μₖ, Cₖ)} from all clients</w:t>
      </w:r>
      <w:r>
        <w:br/>
      </w:r>
      <w:r>
        <w:br/>
      </w:r>
      <w:r>
        <w:rPr>
          <w:rStyle w:val="VerbatimChar"/>
        </w:rPr>
        <w:t xml:space="preserve">1. Compute total sample count:</w:t>
      </w:r>
      <w:r>
        <w:br/>
      </w:r>
      <w:r>
        <w:rPr>
          <w:rStyle w:val="VerbatimChar"/>
        </w:rPr>
        <w:t xml:space="preserve">   N = Σₖ nₖ</w:t>
      </w:r>
      <w:r>
        <w:br/>
      </w:r>
      <w:r>
        <w:br/>
      </w:r>
      <w:r>
        <w:rPr>
          <w:rStyle w:val="VerbatimChar"/>
        </w:rPr>
        <w:t xml:space="preserve">2. Compute global mean:</w:t>
      </w:r>
      <w:r>
        <w:br/>
      </w:r>
      <w:r>
        <w:rPr>
          <w:rStyle w:val="VerbatimChar"/>
        </w:rPr>
        <w:t xml:space="preserve">   μ = (1/N) Σₖ nₖ · μₖ</w:t>
      </w:r>
      <w:r>
        <w:br/>
      </w:r>
      <w:r>
        <w:br/>
      </w:r>
      <w:r>
        <w:rPr>
          <w:rStyle w:val="VerbatimChar"/>
        </w:rPr>
        <w:t xml:space="preserve">3. Compute global covariance with between-client correction:</w:t>
      </w:r>
      <w:r>
        <w:br/>
      </w:r>
      <w:r>
        <w:rPr>
          <w:rStyle w:val="VerbatimChar"/>
        </w:rPr>
        <w:t xml:space="preserve">   C = (1/N) Σₖ nₖ · [Cₖ + (μₖ - μ)(μₖ - μ)ᵀ]</w:t>
      </w:r>
      <w:r>
        <w:br/>
      </w:r>
      <w:r>
        <w:br/>
      </w:r>
      <w:r>
        <w:rPr>
          <w:rStyle w:val="VerbatimChar"/>
        </w:rPr>
        <w:t xml:space="preserve">4. Eigendecomposition:</w:t>
      </w:r>
      <w:r>
        <w:br/>
      </w:r>
      <w:r>
        <w:rPr>
          <w:rStyle w:val="VerbatimChar"/>
        </w:rPr>
        <w:t xml:space="preserve">   [V, Λ] = eig(C)</w:t>
      </w:r>
      <w:r>
        <w:br/>
      </w:r>
      <w:r>
        <w:br/>
      </w:r>
      <w:r>
        <w:rPr>
          <w:rStyle w:val="VerbatimChar"/>
        </w:rPr>
        <w:t xml:space="preserve">5. Select top k eigenvectors:</w:t>
      </w:r>
      <w:r>
        <w:br/>
      </w:r>
      <w:r>
        <w:rPr>
          <w:rStyle w:val="VerbatimChar"/>
        </w:rPr>
        <w:t xml:space="preserve">   Components = V[:, 1:k]</w:t>
      </w:r>
      <w:r>
        <w:br/>
      </w:r>
      <w:r>
        <w:br/>
      </w:r>
      <w:r>
        <w:rPr>
          <w:rStyle w:val="VerbatimChar"/>
        </w:rPr>
        <w:t xml:space="preserve">Output: Principal components (top k eigenvectors)</w:t>
      </w:r>
    </w:p>
    <w:bookmarkEnd w:id="17"/>
    <w:bookmarkStart w:id="18" w:name="communication-protocol"/>
    <w:p>
      <w:pPr>
        <w:pStyle w:val="Heading3"/>
      </w:pPr>
      <w:r>
        <w:t xml:space="preserve">4.2 Communication Protocol</w:t>
      </w:r>
    </w:p>
    <w:p>
      <w:pPr>
        <w:pStyle w:val="SourceCode"/>
      </w:pPr>
      <w:r>
        <w:rPr>
          <w:rStyle w:val="VerbatimChar"/>
        </w:rPr>
        <w:t xml:space="preserve">Round 1: Clients → Server</w:t>
      </w:r>
      <w:r>
        <w:br/>
      </w:r>
      <w:r>
        <w:rPr>
          <w:rStyle w:val="VerbatimChar"/>
        </w:rPr>
        <w:t xml:space="preserve">         Each client sends: (nₖ, μₖ, Cₖ)</w:t>
      </w:r>
      <w:r>
        <w:br/>
      </w:r>
      <w:r>
        <w:br/>
      </w:r>
      <w:r>
        <w:rPr>
          <w:rStyle w:val="VerbatimChar"/>
        </w:rPr>
        <w:t xml:space="preserve">Round 2: Server → Clients</w:t>
      </w:r>
      <w:r>
        <w:br/>
      </w:r>
      <w:r>
        <w:rPr>
          <w:rStyle w:val="VerbatimChar"/>
        </w:rPr>
        <w:t xml:space="preserve">         Server broadcasts: Principal components V[:, 1:k]</w:t>
      </w:r>
    </w:p>
    <w:p>
      <w:pPr>
        <w:pStyle w:val="FirstParagraph"/>
      </w:pPr>
      <w:r>
        <w:rPr>
          <w:b/>
          <w:bCs/>
        </w:rPr>
        <w:t xml:space="preserve">Total communication rounds: 2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why-p-cov-is-exact"/>
    <w:p>
      <w:pPr>
        <w:pStyle w:val="Heading2"/>
      </w:pPr>
      <w:r>
        <w:t xml:space="preserve">5. Why P-COV is Exact</w:t>
      </w:r>
    </w:p>
    <w:bookmarkStart w:id="20" w:name="proof-sketch"/>
    <w:p>
      <w:pPr>
        <w:pStyle w:val="Heading3"/>
      </w:pPr>
      <w:r>
        <w:t xml:space="preserve">5.1 Proof Sketch</w:t>
      </w:r>
    </w:p>
    <w:p>
      <w:pPr>
        <w:pStyle w:val="FirstParagraph"/>
      </w:pPr>
      <w:r>
        <w:rPr>
          <w:b/>
          <w:bCs/>
        </w:rPr>
        <w:t xml:space="preserve">Theorem:</w:t>
      </w:r>
      <w:r>
        <w:t xml:space="preserve"> </w:t>
      </w:r>
      <w:r>
        <w:t xml:space="preserve">The covariance matrix computed by P-COV is identical to the covariance computed on pooled data.</w:t>
      </w:r>
    </w:p>
    <w:p>
      <w:pPr>
        <w:pStyle w:val="BodyText"/>
      </w:pPr>
      <w:r>
        <w:rPr>
          <w:b/>
          <w:bCs/>
        </w:rPr>
        <w:t xml:space="preserve">Proof:</w:t>
      </w:r>
    </w:p>
    <w:p>
      <w:pPr>
        <w:pStyle w:val="BodyText"/>
      </w:pPr>
      <w:r>
        <w:t xml:space="preserve">Let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= [X₁; X₂; …; Xₖ] be the pooled data matrix.</w:t>
      </w:r>
    </w:p>
    <w:p>
      <w:pPr>
        <w:pStyle w:val="BodyText"/>
      </w:pPr>
      <w:r>
        <w:t xml:space="preserve">The global mean is: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= (1/N) Σᵢ₌₁ᴺ</w:t>
      </w:r>
      <w:r>
        <w:t xml:space="preserve"> </w:t>
      </w:r>
      <w:r>
        <w:rPr>
          <w:b/>
          <w:bCs/>
        </w:rPr>
        <w:t xml:space="preserve">xᵢ</w:t>
      </w:r>
      <w:r>
        <w:t xml:space="preserve"> </w:t>
      </w:r>
      <w:r>
        <w:t xml:space="preserve">= (1/N) Σₖ Σⱼ∈clientₖ</w:t>
      </w:r>
      <w:r>
        <w:t xml:space="preserve"> </w:t>
      </w:r>
      <w:r>
        <w:rPr>
          <w:b/>
          <w:bCs/>
        </w:rPr>
        <w:t xml:space="preserve">xⱼ</w:t>
      </w:r>
      <w:r>
        <w:t xml:space="preserve"> </w:t>
      </w:r>
      <w:r>
        <w:t xml:space="preserve">= (1/N) Σₖ nₖ</w:t>
      </w:r>
      <w:r>
        <w:rPr>
          <w:b/>
          <w:bCs/>
        </w:rPr>
        <w:t xml:space="preserve">μₖ</w:t>
      </w:r>
    </w:p>
    <w:p>
      <w:pPr>
        <w:pStyle w:val="BodyText"/>
      </w:pPr>
      <w:r>
        <w:t xml:space="preserve">The global covariance is: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Σᵢ₌₁ᴺ 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pStyle w:val="BodyText"/>
      </w:pPr>
      <w:r>
        <w:t xml:space="preserve">Expanding by client: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Σⱼ∈clientₖ 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pStyle w:val="BodyText"/>
      </w:pPr>
      <w:r>
        <w:t xml:space="preserve">Adding and subtracting</w:t>
      </w:r>
      <w:r>
        <w:t xml:space="preserve"> </w:t>
      </w:r>
      <w:r>
        <w:rPr>
          <w:b/>
          <w:bCs/>
        </w:rPr>
        <w:t xml:space="preserve">μₖ</w:t>
      </w:r>
      <w:r>
        <w:t xml:space="preserve">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Σⱼ∈clientₖ [(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 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)][(…)ᵀ]</w:t>
      </w:r>
    </w:p>
    <w:p>
      <w:pPr>
        <w:pStyle w:val="BodyText"/>
      </w:pPr>
      <w:r>
        <w:t xml:space="preserve">Expanding: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[Σⱼ(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)ᵀ + nₖ(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</w:t>
      </w:r>
    </w:p>
    <w:p>
      <w:pPr>
        <w:pStyle w:val="BodyText"/>
      </w:pPr>
      <w:r>
        <w:t xml:space="preserve">Since Σⱼ(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)ᵀ = nₖ</w:t>
      </w:r>
      <w:r>
        <w:rPr>
          <w:b/>
          <w:bCs/>
        </w:rPr>
        <w:t xml:space="preserve">Cₖ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C</w:t>
      </w:r>
      <w:r>
        <w:t xml:space="preserve"> </w:t>
      </w:r>
      <w:r>
        <w:t xml:space="preserve">= (1/N) Σₖ nₖ[</w:t>
      </w:r>
      <w:r>
        <w:rPr>
          <w:b/>
          <w:bCs/>
        </w:rPr>
        <w:t xml:space="preserve">Cₖ</w:t>
      </w:r>
      <w:r>
        <w:t xml:space="preserve"> </w:t>
      </w:r>
      <w:r>
        <w:t xml:space="preserve">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 ∎</w:t>
      </w:r>
    </w:p>
    <w:bookmarkEnd w:id="20"/>
    <w:bookmarkStart w:id="21" w:name="the-between-client-mean-correction"/>
    <w:p>
      <w:pPr>
        <w:pStyle w:val="Heading3"/>
      </w:pPr>
      <w:r>
        <w:t xml:space="preserve">5.2 The Between-Client Mean Correction</w:t>
      </w:r>
    </w:p>
    <w:p>
      <w:pPr>
        <w:pStyle w:val="FirstParagraph"/>
      </w:pPr>
      <w:r>
        <w:t xml:space="preserve">The term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 is crucial. It captures the variance due to differences in client means.</w:t>
      </w:r>
    </w:p>
    <w:p>
      <w:pPr>
        <w:pStyle w:val="BodyText"/>
      </w:pPr>
      <w:r>
        <w:rPr>
          <w:b/>
          <w:bCs/>
        </w:rPr>
        <w:t xml:space="preserve">Without this correction</w:t>
      </w:r>
      <w:r>
        <w:t xml:space="preserve"> </w:t>
      </w:r>
      <w:r>
        <w:t xml:space="preserve">(i.e., just averaging covariances), you get AP-COV, which is only approximate and can deviate significantly when clients have different data distributions.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munication-cost-analysis"/>
    <w:p>
      <w:pPr>
        <w:pStyle w:val="Heading2"/>
      </w:pPr>
      <w:r>
        <w:t xml:space="preserve">6. Communication Cost Analysis</w:t>
      </w:r>
    </w:p>
    <w:bookmarkStart w:id="23" w:name="per-client-communication"/>
    <w:p>
      <w:pPr>
        <w:pStyle w:val="Heading3"/>
      </w:pPr>
      <w:r>
        <w:t xml:space="preserve">6.1 Per-Client Communication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count nₖ</w:t>
            </w:r>
          </w:p>
        </w:tc>
        <w:tc>
          <w:tcPr/>
          <w:p>
            <w:pPr>
              <w:pStyle w:val="Compact"/>
            </w:pPr>
            <w:r>
              <w:t xml:space="preserve">1 scalar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mean μₖ</w:t>
            </w:r>
          </w:p>
        </w:tc>
        <w:tc>
          <w:tcPr/>
          <w:p>
            <w:pPr>
              <w:pStyle w:val="Compact"/>
            </w:pPr>
            <w:r>
              <w:t xml:space="preserve">d floats</w:t>
            </w:r>
          </w:p>
        </w:tc>
        <w:tc>
          <w:tcPr/>
          <w:p>
            <w:pPr>
              <w:pStyle w:val="Compact"/>
            </w:pPr>
            <w:r>
              <w:t xml:space="preserve">4d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covariance Cₖ</w:t>
            </w:r>
          </w:p>
        </w:tc>
        <w:tc>
          <w:tcPr/>
          <w:p>
            <w:pPr>
              <w:pStyle w:val="Compact"/>
            </w:pPr>
            <w:r>
              <w:t xml:space="preserve">d² floats</w:t>
            </w:r>
          </w:p>
        </w:tc>
        <w:tc>
          <w:tcPr/>
          <w:p>
            <w:pPr>
              <w:pStyle w:val="Compact"/>
            </w:pPr>
            <w:r>
              <w:t xml:space="preserve">4d²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per client:</w:t>
      </w:r>
      <w:r>
        <w:t xml:space="preserve"> </w:t>
      </w:r>
      <w:r>
        <w:t xml:space="preserve">O(d²)</w:t>
      </w:r>
    </w:p>
    <w:bookmarkEnd w:id="23"/>
    <w:bookmarkStart w:id="24" w:name="example-cifar-10-d-3072"/>
    <w:p>
      <w:pPr>
        <w:pStyle w:val="Heading3"/>
      </w:pPr>
      <w:r>
        <w:t xml:space="preserve">6.2 Example: CIFAR-10 (d = 3072)</w:t>
      </w:r>
    </w:p>
    <w:p>
      <w:pPr>
        <w:pStyle w:val="Compact"/>
        <w:numPr>
          <w:ilvl w:val="0"/>
          <w:numId w:val="1004"/>
        </w:numPr>
      </w:pPr>
      <w:r>
        <w:t xml:space="preserve">Mean: 3,072 floats = 12 KB</w:t>
      </w:r>
    </w:p>
    <w:p>
      <w:pPr>
        <w:pStyle w:val="Compact"/>
        <w:numPr>
          <w:ilvl w:val="0"/>
          <w:numId w:val="1004"/>
        </w:numPr>
      </w:pPr>
      <w:r>
        <w:t xml:space="preserve">Covariance: 9,437,184 floats = 36 MB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Total: ~36 MB per client</w:t>
      </w:r>
    </w:p>
    <w:bookmarkEnd w:id="24"/>
    <w:bookmarkStart w:id="25" w:name="reducing-communication-with-compression"/>
    <w:p>
      <w:pPr>
        <w:pStyle w:val="Heading3"/>
      </w:pPr>
      <w:r>
        <w:t xml:space="preserve">6.3 Reducing Communication with Compression</w:t>
      </w:r>
    </w:p>
    <w:p>
      <w:pPr>
        <w:pStyle w:val="FirstParagraph"/>
      </w:pPr>
      <w:r>
        <w:t xml:space="preserve">P-COV can be combined with compression techniques: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Accuracy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16-bit quantization</w:t>
            </w:r>
          </w:p>
        </w:tc>
        <w:tc>
          <w:tcPr/>
          <w:p>
            <w:pPr>
              <w:pStyle w:val="Compact"/>
            </w:pPr>
            <w:r>
              <w:t xml:space="preserve">2×</w:t>
            </w:r>
          </w:p>
        </w:tc>
        <w:tc>
          <w:tcPr/>
          <w:p>
            <w:pPr>
              <w:pStyle w:val="Compact"/>
            </w:pPr>
            <w:r>
              <w:t xml:space="preserve">Negligible (&lt;0.1°)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8-bit quantization</w:t>
            </w:r>
          </w:p>
        </w:tc>
        <w:tc>
          <w:tcPr/>
          <w:p>
            <w:pPr>
              <w:pStyle w:val="Compact"/>
            </w:pPr>
            <w:r>
              <w:t xml:space="preserve">4×</w:t>
            </w:r>
          </w:p>
        </w:tc>
        <w:tc>
          <w:tcPr/>
          <w:p>
            <w:pPr>
              <w:pStyle w:val="Compact"/>
            </w:pPr>
            <w:r>
              <w:t xml:space="preserve">Small (~3°)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Low-rank approximation (k=200)</w:t>
            </w:r>
          </w:p>
        </w:tc>
        <w:tc>
          <w:tcPr/>
          <w:p>
            <w:pPr>
              <w:pStyle w:val="Compact"/>
            </w:pPr>
            <w:r>
              <w:t xml:space="preserve">~8×</w:t>
            </w:r>
          </w:p>
        </w:tc>
        <w:tc>
          <w:tcPr/>
          <w:p>
            <w:pPr>
              <w:pStyle w:val="Compact"/>
            </w:pPr>
            <w:r>
              <w:t xml:space="preserve">Small (~1°)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experimental-results"/>
    <w:p>
      <w:pPr>
        <w:pStyle w:val="Heading2"/>
      </w:pPr>
      <w:r>
        <w:t xml:space="preserve">7. Experimental Results</w:t>
      </w:r>
    </w:p>
    <w:bookmarkStart w:id="27" w:name="X061565a02c3deea826ac5bc5ca933af6c7f6b46"/>
    <w:p>
      <w:pPr>
        <w:pStyle w:val="Heading3"/>
      </w:pPr>
      <w:r>
        <w:t xml:space="preserve">7.1 Subspace Alignment (Angle vs Centralized PCA)</w:t>
      </w:r>
    </w:p>
    <w:p>
      <w:pPr>
        <w:pStyle w:val="FirstParagraph"/>
      </w:pPr>
      <w:r>
        <w:rPr>
          <w:b/>
          <w:bCs/>
        </w:rPr>
        <w:t xml:space="preserve">MNIST Dataset (d=784, 10 clients, 50 components)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 Type</w:t>
            </w:r>
          </w:p>
        </w:tc>
        <w:tc>
          <w:tcPr/>
          <w:p>
            <w:pPr>
              <w:pStyle w:val="Compact"/>
            </w:pPr>
            <w:r>
              <w:t xml:space="preserve">P-COV</w:t>
            </w:r>
          </w:p>
        </w:tc>
        <w:tc>
          <w:tcPr/>
          <w:p>
            <w:pPr>
              <w:pStyle w:val="Compact"/>
            </w:pPr>
            <w:r>
              <w:t xml:space="preserve">AP-COV</w:t>
            </w:r>
          </w:p>
        </w:tc>
        <w:tc>
          <w:tcPr/>
          <w:p>
            <w:pPr>
              <w:pStyle w:val="Compact"/>
            </w:pPr>
            <w:r>
              <w:t xml:space="preserve">AP-STACK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0.01°</w:t>
            </w:r>
          </w:p>
        </w:tc>
        <w:tc>
          <w:tcPr/>
          <w:p>
            <w:pPr>
              <w:pStyle w:val="Compact"/>
            </w:pPr>
            <w:r>
              <w:t xml:space="preserve">0.02°</w:t>
            </w:r>
          </w:p>
        </w:tc>
        <w:tc>
          <w:tcPr/>
          <w:p>
            <w:pPr>
              <w:pStyle w:val="Compact"/>
            </w:pPr>
            <w:r>
              <w:t xml:space="preserve">13.03°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Non-IID (α=0.1)</w:t>
            </w:r>
          </w:p>
        </w:tc>
        <w:tc>
          <w:tcPr/>
          <w:p>
            <w:pPr>
              <w:pStyle w:val="Compact"/>
            </w:pPr>
            <w:r>
              <w:t xml:space="preserve">0.01°</w:t>
            </w:r>
          </w:p>
        </w:tc>
        <w:tc>
          <w:tcPr/>
          <w:p>
            <w:pPr>
              <w:pStyle w:val="Compact"/>
            </w:pPr>
            <w:r>
              <w:t xml:space="preserve">0.69°</w:t>
            </w:r>
          </w:p>
        </w:tc>
        <w:tc>
          <w:tcPr/>
          <w:p>
            <w:pPr>
              <w:pStyle w:val="Compact"/>
            </w:pPr>
            <w:r>
              <w:t xml:space="preserve">15.01°</w:t>
            </w:r>
          </w:p>
        </w:tc>
      </w:tr>
    </w:tbl>
    <w:p>
      <w:pPr>
        <w:pStyle w:val="BodyText"/>
      </w:pPr>
      <w:r>
        <w:rPr>
          <w:b/>
          <w:bCs/>
        </w:rPr>
        <w:t xml:space="preserve">CIFAR-10 Dataset (d=3072, 10 clients, 50 components)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 Type</w:t>
            </w:r>
          </w:p>
        </w:tc>
        <w:tc>
          <w:tcPr/>
          <w:p>
            <w:pPr>
              <w:pStyle w:val="Compact"/>
            </w:pPr>
            <w:r>
              <w:t xml:space="preserve">P-COV</w:t>
            </w:r>
          </w:p>
        </w:tc>
        <w:tc>
          <w:tcPr/>
          <w:p>
            <w:pPr>
              <w:pStyle w:val="Compact"/>
            </w:pPr>
            <w:r>
              <w:t xml:space="preserve">AP-COV</w:t>
            </w:r>
          </w:p>
        </w:tc>
        <w:tc>
          <w:tcPr/>
          <w:p>
            <w:pPr>
              <w:pStyle w:val="Compact"/>
            </w:pPr>
            <w:r>
              <w:t xml:space="preserve">AP-STACK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  <w:tc>
          <w:tcPr/>
          <w:p>
            <w:pPr>
              <w:pStyle w:val="Compact"/>
            </w:pPr>
            <w:r>
              <w:t xml:space="preserve">0.01°</w:t>
            </w:r>
          </w:p>
        </w:tc>
        <w:tc>
          <w:tcPr/>
          <w:p>
            <w:pPr>
              <w:pStyle w:val="Compact"/>
            </w:pPr>
            <w:r>
              <w:t xml:space="preserve">0.54°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Non-IID (α=0.1)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  <w:tc>
          <w:tcPr/>
          <w:p>
            <w:pPr>
              <w:pStyle w:val="Compact"/>
            </w:pPr>
            <w:r>
              <w:t xml:space="preserve">0.13°</w:t>
            </w:r>
          </w:p>
        </w:tc>
        <w:tc>
          <w:tcPr/>
          <w:p>
            <w:pPr>
              <w:pStyle w:val="Compact"/>
            </w:pPr>
            <w:r>
              <w:t xml:space="preserve">4.58°</w:t>
            </w:r>
          </w:p>
        </w:tc>
      </w:tr>
    </w:tbl>
    <w:bookmarkEnd w:id="27"/>
    <w:bookmarkStart w:id="28" w:name="key-observations"/>
    <w:p>
      <w:pPr>
        <w:pStyle w:val="Heading3"/>
      </w:pPr>
      <w:r>
        <w:t xml:space="preserve">7.2 Key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P-COV achieves 0.00°-0.01° angle</w:t>
      </w:r>
      <w:r>
        <w:t xml:space="preserve"> </w:t>
      </w:r>
      <w:r>
        <w:t xml:space="preserve">across all conditions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degradation on non-IID data</w:t>
      </w:r>
      <w:r>
        <w:t xml:space="preserve"> </w:t>
      </w:r>
      <w:r>
        <w:t xml:space="preserve">- P-COV is equally accurate regardless of data heterogeneity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 methods (AP-STACK) degrade significantly</w:t>
      </w:r>
      <w:r>
        <w:t xml:space="preserve"> </w:t>
      </w:r>
      <w:r>
        <w:t xml:space="preserve">on non-IID data (up to 40°)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implementation"/>
    <w:p>
      <w:pPr>
        <w:pStyle w:val="Heading2"/>
      </w:pPr>
      <w:r>
        <w:t xml:space="preserve">8. Implementation</w:t>
      </w:r>
    </w:p>
    <w:bookmarkStart w:id="30" w:name="python-code"/>
    <w:p>
      <w:pPr>
        <w:pStyle w:val="Heading3"/>
      </w:pPr>
      <w:r>
        <w:t xml:space="preserve">8.1 Python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PooledCovariancePCA: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Pooled Covariance PCA (P-COV) for distributed/federated learning.</w:t>
      </w:r>
      <w:r>
        <w:br/>
      </w:r>
      <w:r>
        <w:br/>
      </w:r>
      <w:r>
        <w:rPr>
          <w:rStyle w:val="CommentTok"/>
        </w:rPr>
        <w:t xml:space="preserve">    Computes exact global PCA by aggregating local covariance matrices</w:t>
      </w:r>
      <w:r>
        <w:br/>
      </w:r>
      <w:r>
        <w:rPr>
          <w:rStyle w:val="CommentTok"/>
        </w:rPr>
        <w:t xml:space="preserve">    with between-client mean correction.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n_components):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n_components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client_data):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Fit PCA on distributed data.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client_data: List of numpy arrays, one per client.</w:t>
      </w:r>
      <w:r>
        <w:br/>
      </w:r>
      <w:r>
        <w:rPr>
          <w:rStyle w:val="CommentTok"/>
        </w:rPr>
        <w:t xml:space="preserve">                        Each array has shape (n_samples, n_features).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1: Collect local statistics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client_data: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np.mean(X,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np.cov(X, rowvar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N, not N-1</w:t>
      </w:r>
      <w:r>
        <w:br/>
      </w:r>
      <w:r>
        <w:rPr>
          <w:rStyle w:val="NormalTok"/>
        </w:rPr>
        <w:t xml:space="preserve">            stats.append((n, mu, C))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Compute global mean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_,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mu,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Compute global covariance with correction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.mean_)</w:t>
      </w:r>
      <w:r>
        <w:br/>
      </w:r>
      <w:r>
        <w:rPr>
          <w:rStyle w:val="NormalTok"/>
        </w:rPr>
        <w:t xml:space="preserve">        C_global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np.zeros((d, d))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mu,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stats:</w:t>
      </w:r>
      <w:r>
        <w:br/>
      </w:r>
      <w:r>
        <w:rPr>
          <w:rStyle w:val="NormalTok"/>
        </w:rPr>
        <w:t xml:space="preserve">           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Key: add between-client mean correction</w:t>
      </w:r>
      <w:r>
        <w:br/>
      </w:r>
      <w:r>
        <w:rPr>
          <w:rStyle w:val="NormalTok"/>
        </w:rPr>
        <w:t xml:space="preserve">            C_global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np.outer(diff, diff))</w:t>
      </w:r>
      <w:r>
        <w:br/>
      </w:r>
      <w:r>
        <w:br/>
      </w:r>
      <w:r>
        <w:rPr>
          <w:rStyle w:val="NormalTok"/>
        </w:rPr>
        <w:t xml:space="preserve">        C_global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Eigendecomposition</w:t>
      </w:r>
      <w:r>
        <w:br/>
      </w:r>
      <w:r>
        <w:rPr>
          <w:rStyle w:val="NormalTok"/>
        </w:rPr>
        <w:t xml:space="preserve">        eigenvalues, eigenvectors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np.linalg.eigh(C_global)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Sort by descending eigenvalue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np.argsort(eigenvalues)[::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eigenvalues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eigenvalues[idx]</w:t>
      </w:r>
      <w:r>
        <w:br/>
      </w:r>
      <w:r>
        <w:rPr>
          <w:rStyle w:val="NormalTok"/>
        </w:rPr>
        <w:t xml:space="preserve">        eigenvectors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eigenvectors[:, idx]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Store top k components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eigenvectors[:, 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.n_components].T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.explained_variance_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eigenvalues[: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"""Project data onto principal components."""</w:t>
      </w:r>
      <w:r>
        <w:br/>
      </w:r>
      <w:r>
        <w:rPr>
          <w:rStyle w:val="NormalTok"/>
        </w:rPr>
        <w:t xml:space="preserve">        X_centered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X_centered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.components_.T</w:t>
      </w:r>
    </w:p>
    <w:bookmarkEnd w:id="30"/>
    <w:bookmarkStart w:id="31" w:name="usage-example"/>
    <w:p>
      <w:pPr>
        <w:pStyle w:val="Heading3"/>
      </w:pPr>
      <w:r>
        <w:t xml:space="preserve">8.2 Usage Example</w:t>
      </w:r>
    </w:p>
    <w:p>
      <w:pPr>
        <w:pStyle w:val="SourceCode"/>
      </w:pPr>
      <w:r>
        <w:rPr>
          <w:rStyle w:val="CommentTok"/>
        </w:rPr>
        <w:t xml:space="preserve"># Each client has local data (not shared)</w:t>
      </w:r>
      <w:r>
        <w:br/>
      </w:r>
      <w:r>
        <w:rPr>
          <w:rStyle w:val="NormalTok"/>
        </w:rPr>
        <w:t xml:space="preserve">client_1_data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Hospital A</w:t>
      </w:r>
      <w:r>
        <w:br/>
      </w:r>
      <w:r>
        <w:rPr>
          <w:rStyle w:val="NormalTok"/>
        </w:rPr>
        <w:t xml:space="preserve">client_2_data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Hospital B</w:t>
      </w:r>
      <w:r>
        <w:br/>
      </w:r>
      <w:r>
        <w:rPr>
          <w:rStyle w:val="NormalTok"/>
        </w:rPr>
        <w:t xml:space="preserve">client_3_data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Hospital C</w:t>
      </w:r>
      <w:r>
        <w:br/>
      </w:r>
      <w:r>
        <w:br/>
      </w:r>
      <w:r>
        <w:rPr>
          <w:rStyle w:val="CommentTok"/>
        </w:rPr>
        <w:t xml:space="preserve"># Fit P-COV (only statistics are shared, not raw data)</w:t>
      </w:r>
      <w:r>
        <w:br/>
      </w:r>
      <w:r>
        <w:rPr>
          <w:rStyle w:val="NormalTok"/>
        </w:rPr>
        <w:t xml:space="preserve">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PooledCovariancePCA(n_components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pca.fit([client_1_data, client_2_data, client_3_data])</w:t>
      </w:r>
      <w:r>
        <w:br/>
      </w:r>
      <w:r>
        <w:br/>
      </w:r>
      <w:r>
        <w:rPr>
          <w:rStyle w:val="CommentTok"/>
        </w:rPr>
        <w:t xml:space="preserve"># Transform new data</w:t>
      </w:r>
      <w:r>
        <w:br/>
      </w:r>
      <w:r>
        <w:rPr>
          <w:rStyle w:val="NormalTok"/>
        </w:rPr>
        <w:t xml:space="preserve">test_data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pca.transform(test_data)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advantages-and-limitations"/>
    <w:p>
      <w:pPr>
        <w:pStyle w:val="Heading2"/>
      </w:pPr>
      <w:r>
        <w:t xml:space="preserve">9. Advantages and Limitations</w:t>
      </w:r>
    </w:p>
    <w:bookmarkStart w:id="33" w:name="advantages"/>
    <w:p>
      <w:pPr>
        <w:pStyle w:val="Heading3"/>
      </w:pPr>
      <w:r>
        <w:t xml:space="preserve">9.1 Advantages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Advantage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Mathematically identical to centralized PCA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Privacy-preserving</w:t>
            </w:r>
          </w:p>
        </w:tc>
        <w:tc>
          <w:tcPr/>
          <w:p>
            <w:pPr>
              <w:pStyle w:val="Compact"/>
            </w:pPr>
            <w:r>
              <w:t xml:space="preserve">Only statistics shared, not raw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Non-IID robust</w:t>
            </w:r>
          </w:p>
        </w:tc>
        <w:tc>
          <w:tcPr/>
          <w:p>
            <w:pPr>
              <w:pStyle w:val="Compact"/>
            </w:pPr>
            <w:r>
              <w:t xml:space="preserve">No degradation on heterogeneous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Easy to implement and understand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Efficient</w:t>
            </w:r>
          </w:p>
        </w:tc>
        <w:tc>
          <w:tcPr/>
          <w:p>
            <w:pPr>
              <w:pStyle w:val="Compact"/>
            </w:pPr>
            <w:r>
              <w:t xml:space="preserve">Only 2 communication rounds</w:t>
            </w:r>
          </w:p>
        </w:tc>
      </w:tr>
    </w:tbl>
    <w:bookmarkEnd w:id="33"/>
    <w:bookmarkStart w:id="34" w:name="limitations"/>
    <w:p>
      <w:pPr>
        <w:pStyle w:val="Heading3"/>
      </w:pPr>
      <w:r>
        <w:t xml:space="preserve">9.2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O(d²) communication</w:t>
            </w:r>
          </w:p>
        </w:tc>
        <w:tc>
          <w:tcPr/>
          <w:p>
            <w:pPr>
              <w:pStyle w:val="Compact"/>
            </w:pPr>
            <w:r>
              <w:t xml:space="preserve">Use compression (quantization, low-rank)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 all clients</w:t>
            </w:r>
          </w:p>
        </w:tc>
        <w:tc>
          <w:tcPr/>
          <w:p>
            <w:pPr>
              <w:pStyle w:val="Compact"/>
            </w:pPr>
            <w:r>
              <w:t xml:space="preserve">Use streaming variant for dynamic participation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formal privacy guarantee</w:t>
            </w:r>
          </w:p>
        </w:tc>
        <w:tc>
          <w:tcPr/>
          <w:p>
            <w:pPr>
              <w:pStyle w:val="Compact"/>
            </w:pPr>
            <w:r>
              <w:t xml:space="preserve">Combine with differential privacy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references"/>
    <w:p>
      <w:pPr>
        <w:pStyle w:val="Heading2"/>
      </w:pPr>
      <w:r>
        <w:t xml:space="preserve">10. References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Grammenos, A., et al.</w:t>
      </w:r>
      <w:r>
        <w:t xml:space="preserve"> </w:t>
      </w:r>
      <w:r>
        <w:t xml:space="preserve">(2020).</w:t>
      </w:r>
      <w:r>
        <w:t xml:space="preserve"> </w:t>
      </w:r>
      <w:r>
        <w:t xml:space="preserve">“Federated Principal Component Analysis.”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Foundational work on federated PCA methods.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Fan, J., Wang, D., Wang, K., &amp; Zhu, Z.</w:t>
      </w:r>
      <w:r>
        <w:t xml:space="preserve"> </w:t>
      </w:r>
      <w:r>
        <w:t xml:space="preserve">(2019).</w:t>
      </w:r>
      <w:r>
        <w:t xml:space="preserve"> </w:t>
      </w:r>
      <w:r>
        <w:t xml:space="preserve">“Distributed Estimation of Principal Eigenspaces.”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, 47(6), 3009-3031.</w:t>
      </w:r>
    </w:p>
    <w:p>
      <w:pPr>
        <w:pStyle w:val="Compact"/>
        <w:numPr>
          <w:ilvl w:val="1"/>
          <w:numId w:val="1008"/>
        </w:numPr>
      </w:pPr>
      <w:r>
        <w:t xml:space="preserve">Theoretical analysis of distributed PCA.</w:t>
      </w:r>
    </w:p>
    <w:p>
      <w:pPr>
        <w:pStyle w:val="Compact"/>
        <w:numPr>
          <w:ilvl w:val="1"/>
          <w:numId w:val="1008"/>
        </w:numPr>
      </w:pPr>
      <w:r>
        <w:t xml:space="preserve">DOI: 10.1214/18-AOS1713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Chen, Y., &amp; Wainwright, M. J.</w:t>
      </w:r>
      <w:r>
        <w:t xml:space="preserve"> </w:t>
      </w:r>
      <w:r>
        <w:t xml:space="preserve">(2015).</w:t>
      </w:r>
      <w:r>
        <w:t xml:space="preserve"> </w:t>
      </w:r>
      <w:r>
        <w:t xml:space="preserve">“Fast low-rank estimation by projected gradient descent: General statistical and algorithmic guarantees.”</w:t>
      </w:r>
      <w:r>
        <w:t xml:space="preserve"> </w:t>
      </w:r>
      <w:r>
        <w:rPr>
          <w:i/>
          <w:iCs/>
        </w:rPr>
        <w:t xml:space="preserve">arXiv preprint arXiv:1509.03025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Balcan, M. F., et al.</w:t>
      </w:r>
      <w:r>
        <w:t xml:space="preserve"> </w:t>
      </w:r>
      <w:r>
        <w:t xml:space="preserve">(2014).</w:t>
      </w:r>
      <w:r>
        <w:t xml:space="preserve"> </w:t>
      </w:r>
      <w:r>
        <w:t xml:space="preserve">“Distributed PCA and k-Means Clustering.”</w:t>
      </w:r>
      <w:r>
        <w:t xml:space="preserve"> </w:t>
      </w:r>
      <w:r>
        <w:rPr>
          <w:i/>
          <w:iCs/>
        </w:rPr>
        <w:t xml:space="preserve">Proceedings of the NIPS Workshop on Distributed Machine Learning and Matrix Computations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Liang, Y., et al.</w:t>
      </w:r>
      <w:r>
        <w:t xml:space="preserve"> </w:t>
      </w:r>
      <w:r>
        <w:t xml:space="preserve">(2014).</w:t>
      </w:r>
      <w:r>
        <w:t xml:space="preserve"> </w:t>
      </w:r>
      <w:r>
        <w:t xml:space="preserve">“Communication Efficient Distributed PCA.”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Li, Q., et al.</w:t>
      </w:r>
      <w:r>
        <w:t xml:space="preserve"> </w:t>
      </w:r>
      <w:r>
        <w:t xml:space="preserve">(2022).</w:t>
      </w:r>
      <w:r>
        <w:t xml:space="preserve"> </w:t>
      </w:r>
      <w:r>
        <w:t xml:space="preserve">“Federated PCA on Grassmann Manifold for Anomaly Detection in IoT Networks.”</w:t>
      </w:r>
      <w:r>
        <w:t xml:space="preserve"> </w:t>
      </w:r>
      <w:r>
        <w:rPr>
          <w:i/>
          <w:iCs/>
        </w:rPr>
        <w:t xml:space="preserve">IEEE INFOCOM 2022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Ge, J., et al.</w:t>
      </w:r>
      <w:r>
        <w:t xml:space="preserve"> </w:t>
      </w:r>
      <w:r>
        <w:t xml:space="preserve">(2023).</w:t>
      </w:r>
      <w:r>
        <w:t xml:space="preserve"> </w:t>
      </w:r>
      <w:r>
        <w:t xml:space="preserve">“Federated PCA for Biomedical Applications.”</w:t>
      </w:r>
      <w:r>
        <w:t xml:space="preserve"> </w:t>
      </w:r>
      <w:r>
        <w:rPr>
          <w:i/>
          <w:iCs/>
        </w:rPr>
        <w:t xml:space="preserve">PMC/NIH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URL: https://pmc.ncbi.nlm.nih.gov/articles/PMC9710634/</w:t>
      </w:r>
    </w:p>
    <w:p>
      <w:r>
        <w:pict>
          <v:rect style="width:0;height:1.5pt" o:hralign="center" o:hrstd="t" o:hr="t"/>
        </w:pict>
      </w:r>
    </w:p>
    <w:bookmarkEnd w:id="36"/>
    <w:bookmarkStart w:id="3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P-COV (Pooled Covariance PCA) is the recommended method for distributed PCA when: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Exact results are required</w:t>
      </w:r>
      <w:r>
        <w:t xml:space="preserve"> </w:t>
      </w:r>
      <w:r>
        <w:t xml:space="preserve">- P-COV guarantees identical results to centralized PCA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is heterogeneous (non-IID)</w:t>
      </w:r>
      <w:r>
        <w:t xml:space="preserve"> </w:t>
      </w:r>
      <w:r>
        <w:t xml:space="preserve">- P-COV shows no degradation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Privacy is important</w:t>
      </w:r>
      <w:r>
        <w:t xml:space="preserve"> </w:t>
      </w:r>
      <w:r>
        <w:t xml:space="preserve">- Only summary statistics are shared</w:t>
      </w:r>
    </w:p>
    <w:p>
      <w:pPr>
        <w:pStyle w:val="FirstParagraph"/>
      </w:pPr>
      <w:r>
        <w:t xml:space="preserve">The key insight is the</w:t>
      </w:r>
      <w:r>
        <w:t xml:space="preserve"> </w:t>
      </w:r>
      <w:r>
        <w:rPr>
          <w:b/>
          <w:bCs/>
        </w:rPr>
        <w:t xml:space="preserve">between-client mean correction</w:t>
      </w:r>
      <w:r>
        <w:t xml:space="preserve"> </w:t>
      </w:r>
      <w:r>
        <w:t xml:space="preserve">term, which accounts for differences in local data distributions and ensures exact reconstruction of the global covariance matrix.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 for the Distributed PCA Research Project</w:t>
      </w:r>
      <w:r>
        <w:t xml:space="preserve"> </w:t>
      </w:r>
      <w:r>
        <w:rPr>
          <w:i/>
          <w:iCs/>
        </w:rPr>
        <w:t xml:space="preserve">Repository: https://github.com/wxl387/distributed-pca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2026-01-28T15:03:11Z</dcterms:created>
  <dcterms:modified xsi:type="dcterms:W3CDTF">2026-01-28T15:03:11Z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