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1F6FB2"/>
          <w:sz w:val="56"/>
          <w:szCs w:val="56"/>
        </w:rPr>
        <w:t xml:space="preserve">AI虚拟文员</w:t>
      </w:r>
    </w:p>
    <w:p>
      <w:pPr>
        <w:spacing w:after="400"/>
        <w:jc w:val="center"/>
      </w:pPr>
      <w:r>
        <w:rPr>
          <w:rFonts w:ascii="微软雅黑" w:cs="微软雅黑" w:eastAsia="微软雅黑" w:hAnsi="微软雅黑"/>
          <w:b/>
          <w:bCs/>
          <w:color w:val="2D3748"/>
          <w:sz w:val="36"/>
          <w:szCs w:val="36"/>
        </w:rPr>
        <w:t xml:space="preserve">产品设计规格文档</w:t>
      </w:r>
    </w:p>
    <w:p>
      <w:pPr>
        <w:spacing w:after="80"/>
        <w:jc w:val="center"/>
      </w:pPr>
      <w:r>
        <w:rPr>
          <w:rFonts w:ascii="微软雅黑" w:cs="微软雅黑" w:eastAsia="微软雅黑" w:hAnsi="微软雅黑"/>
          <w:color w:val="6B7280"/>
          <w:sz w:val="24"/>
          <w:szCs w:val="24"/>
        </w:rPr>
        <w:t xml:space="preserve">模块一 · 左侧导航栏</w:t>
      </w:r>
    </w:p>
    <w:p>
      <w:pPr>
        <w:spacing w:after="80"/>
        <w:jc w:val="center"/>
      </w:pPr>
      <w:r>
        <w:rPr>
          <w:rFonts w:ascii="微软雅黑" w:cs="微软雅黑" w:eastAsia="微软雅黑" w:hAnsi="微软雅黑"/>
          <w:color w:val="6B7280"/>
          <w:sz w:val="24"/>
          <w:szCs w:val="24"/>
        </w:rPr>
        <w:t xml:space="preserve">模块二 · AI识别记账</w:t>
      </w:r>
    </w:p>
    <w:p>
      <w:pPr>
        <w:spacing w:after="600"/>
        <w:jc w:val="center"/>
      </w:pP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>含整体框架设计（桌面端布局 · 版本门控 · 会话体系）</w:t>
      </w:r>
    </w:p>
    <w:p>
      <w:pPr>
        <w:spacing w:after="40"/>
        <w:jc w:val="center"/>
      </w:pP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版本 v0.1（优化稿）</w:t>
      </w:r>
    </w:p>
    <w:p>
      <w:pPr>
        <w:jc w:val="center"/>
      </w:pP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2026-08-07</w:t>
      </w:r>
    </w:p>
    <w:p>
      <w:pPr>
        <w:pageBreakBefore/>
        <w:spacing w:after="0"/>
      </w:pPr>
      <w:r>
        <w:rPr>
          <w:rFonts w:ascii="微软雅黑" w:cs="微软雅黑" w:eastAsia="微软雅黑" w:hAnsi="微软雅黑"/>
        </w:rPr>
        <w:t xml:space="preserve"/>
      </w:r>
    </w:p>
    <w:p>
      <w:pPr>
        <w:pStyle w:val="Heading1"/>
        <w:pBdr>
          <w:bottom w:val="single" w:color="1F6FB2" w:sz="6" w:space="4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F6FB2"/>
          <w:sz w:val="30"/>
          <w:szCs w:val="30"/>
        </w:rPr>
        <w:t xml:space="preserve">目录</w:t>
      </w:r>
    </w:p>
    <w:p>
      <w:pPr>
        <w:spacing w:after="4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一、设计优化说明</w:t>
      </w:r>
    </w:p>
    <w:p>
      <w:pPr>
        <w:spacing w:after="4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二、整体框架（新增）</w:t>
      </w:r>
    </w:p>
    <w:p>
      <w:pPr>
        <w:spacing w:after="4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三、模块一 · 左侧导航栏</w:t>
      </w:r>
    </w:p>
    <w:p>
      <w:pPr>
        <w:spacing w:after="4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四、模块二 · AI识别记账</w:t>
      </w:r>
    </w:p>
    <w:p>
      <w:pPr>
        <w:spacing w:after="4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五、与现有代码的差异映射</w:t>
      </w:r>
    </w:p>
    <w:p>
      <w:pPr>
        <w:spacing w:after="4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六、开发顺序建议</w:t>
      </w:r>
    </w:p>
    <w:p>
      <w:pPr>
        <w:pageBreakBefore/>
        <w:spacing w:after="0"/>
      </w:pPr>
      <w:r>
        <w:rPr>
          <w:rFonts w:ascii="微软雅黑" w:cs="微软雅黑" w:eastAsia="微软雅黑" w:hAnsi="微软雅黑"/>
        </w:rPr>
        <w:t xml:space="preserve"/>
      </w:r>
    </w:p>
    <w:p>
      <w:pPr>
        <w:pStyle w:val="Heading1"/>
        <w:pBdr>
          <w:bottom w:val="single" w:color="1F6FB2" w:sz="6" w:space="4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F6FB2"/>
          <w:sz w:val="30"/>
          <w:szCs w:val="30"/>
        </w:rPr>
        <w:t xml:space="preserve">一、设计优化说明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本设计在原始设计思路（左侧导航 + 聊天驱动记账）基础上，对照现有代码进行了系统性优化与补全。以下为本次优化的总体原则与核心决策。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1.1 优化原则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聊天驱动：所有功能在右侧聊天区内完成，不跳出当前界面。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版本门控：功能可见性由用户订阅版本决定，低版本不可见高版本功能。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数据可核验：所有入账数据必须经过用户核对确认，保留完整审计轨迹。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风险可视化：低可信度数据以视觉方式明确标注，让用户知情确认。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渐进式呈现：识别结果逐步呈现，增强透明度和信任感。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1.2 关键决策摘要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00"/>
        <w:gridCol w:w="2200"/>
      </w:tblGrid>
      <w:tr>
        <w:trPr>
          <w:tblHeader/>
        </w:trPr>
        <w:tc>
          <w:tcPr>
            <w:tcW w:type="dxa" w:w="14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决策项</w:t>
            </w:r>
          </w:p>
        </w:tc>
        <w:tc>
          <w:tcPr>
            <w:tcW w:type="dxa" w:w="22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原始设计</w:t>
            </w:r>
          </w:p>
        </w:tc>
        <w:tc>
          <w:tcPr>
            <w:tcW w:type="dxa" w:w="32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优化后方案</w:t>
            </w:r>
          </w:p>
        </w:tc>
        <w:tc>
          <w:tcPr>
            <w:tcW w:type="dxa" w:w="22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版本命名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免费/基础/标准/专业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free / basic / standard / pro（代码常量）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与现有 free/basic/advanced/clerk 对齐并演进，避免歧义</w:t>
            </w:r>
          </w:p>
        </w:tc>
      </w:tr>
      <w:tr>
        <w:tc>
          <w:tcPr>
            <w:tcW w:type="dxa" w:w="1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专业版菜单</w:t>
            </w:r>
          </w:p>
        </w:tc>
        <w:tc>
          <w:tcPr>
            <w:tcW w:type="dxa" w:w="2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客户台账（不限量）</w:t>
            </w:r>
          </w:p>
        </w:tc>
        <w:tc>
          <w:tcPr>
            <w:tcW w:type="dxa" w:w="3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客户台账并入专业版区块，带“不限量”标注；标准版不再单列</w:t>
            </w:r>
          </w:p>
        </w:tc>
        <w:tc>
          <w:tcPr>
            <w:tcW w:type="dxa" w:w="2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同一功能在标准版与专业版同时出现会造成导航重复，视觉与逻辑均冲突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95%阈值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模型输出数值置信度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以“双次识别 + 字段置信度”组合判定，可操作化（见 4.4）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现有模型无法直接输出 95% 数值；需转化为可判定的规则</w:t>
            </w:r>
          </w:p>
        </w:tc>
      </w:tr>
      <w:tr>
        <w:tc>
          <w:tcPr>
            <w:tcW w:type="dxa" w:w="1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整体框架</w:t>
            </w:r>
          </w:p>
        </w:tc>
        <w:tc>
          <w:tcPr>
            <w:tcW w:type="dxa" w:w="2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仅两个模块描述</w:t>
            </w:r>
          </w:p>
        </w:tc>
        <w:tc>
          <w:tcPr>
            <w:tcW w:type="dxa" w:w="3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补全桌面端整体框架：路由、会话、版本门控、数据模型</w:t>
            </w:r>
          </w:p>
        </w:tc>
        <w:tc>
          <w:tcPr>
            <w:tcW w:type="dxa" w:w="2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两个模块依赖的导航/聊天底座目前不存在，需一并设计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客户数据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未定义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新增 Customer 数据模型与 CRUD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客户台账依赖，现有代码没有客户实体</w:t>
            </w:r>
          </w:p>
        </w:tc>
      </w:tr>
      <w:tr>
        <w:tc>
          <w:tcPr>
            <w:tcW w:type="dxa" w:w="1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报税提醒</w:t>
            </w:r>
          </w:p>
        </w:tc>
        <w:tc>
          <w:tcPr>
            <w:tcW w:type="dxa" w:w="2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未定义</w:t>
            </w:r>
          </w:p>
        </w:tc>
        <w:tc>
          <w:tcPr>
            <w:tcW w:type="dxa" w:w="3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新增 TaxReminder 数据模型与配置</w:t>
            </w:r>
          </w:p>
        </w:tc>
        <w:tc>
          <w:tcPr>
            <w:tcW w:type="dxa" w:w="2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申报倒计时需要可配置的申报日期与提醒规则</w:t>
            </w:r>
          </w:p>
        </w:tc>
      </w:tr>
    </w:tbl>
    <w:p>
      <w:pPr>
        <w:shd w:fill="E8F1FA" w:val="clear"/>
        <w:spacing w:after="80" w:before="60" w:line="300"/>
        <w:ind w:left="120" w:right="12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【优化要点】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文档定位：本设计为“规格 + 评审”性质，直接面向开发落地。每个模块均给出布局、交互、状态、异常与代码映射。</w:t>
      </w:r>
    </w:p>
    <w:p>
      <w:pPr>
        <w:pageBreakBefore/>
        <w:spacing w:after="0"/>
      </w:pPr>
      <w:r>
        <w:rPr>
          <w:rFonts w:ascii="微软雅黑" w:cs="微软雅黑" w:eastAsia="微软雅黑" w:hAnsi="微软雅黑"/>
        </w:rPr>
        <w:t xml:space="preserve"/>
      </w:r>
    </w:p>
    <w:p>
      <w:pPr>
        <w:pStyle w:val="Heading1"/>
        <w:pBdr>
          <w:bottom w:val="single" w:color="1F6FB2" w:sz="6" w:space="4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F6FB2"/>
          <w:sz w:val="30"/>
          <w:szCs w:val="30"/>
        </w:rPr>
        <w:t xml:space="preserve">二、整体框架（新增）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模块一与模块二共同依赖一个“桌面端外壳”：左侧导航栏 + 右侧聊天区。现有代码是移动端（Vant + 底部 Tab），本设计将应用升级为桌面端优先的聊天式工作台。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2.1 产品形态变化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3200"/>
      </w:tblGrid>
      <w:tr>
        <w:trPr>
          <w:tblHeader/>
        </w:trPr>
        <w:tc>
          <w:tcPr>
            <w:tcW w:type="dxa" w:w="15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3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现有实现</w:t>
            </w:r>
          </w:p>
        </w:tc>
        <w:tc>
          <w:tcPr>
            <w:tcW w:type="dxa" w:w="32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目标形态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使用场景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手机移动端（Vant）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桌面浏览器为主，兼顾窄屏响应式</w:t>
            </w:r>
          </w:p>
        </w:tc>
      </w:tr>
      <w:tr>
        <w:tc>
          <w:tcPr>
            <w:tcW w:type="dxa" w:w="15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主交互</w:t>
            </w:r>
          </w:p>
        </w:tc>
        <w:tc>
          <w:tcPr>
            <w:tcW w:type="dxa" w:w="33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页面 + 表单 + 弹窗</w:t>
            </w:r>
          </w:p>
        </w:tc>
        <w:tc>
          <w:tcPr>
            <w:tcW w:type="dxa" w:w="3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左侧导航 + 右侧聊天区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布局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底部 4-Tab 导航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左侧固定导航栏 + 右侧聊天工作台</w:t>
            </w:r>
          </w:p>
        </w:tc>
      </w:tr>
      <w:tr>
        <w:tc>
          <w:tcPr>
            <w:tcW w:type="dxa" w:w="15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导航结构</w:t>
            </w:r>
          </w:p>
        </w:tc>
        <w:tc>
          <w:tcPr>
            <w:tcW w:type="dxa" w:w="33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记账/台账/数据分析/我的</w:t>
            </w:r>
          </w:p>
        </w:tc>
        <w:tc>
          <w:tcPr>
            <w:tcW w:type="dxa" w:w="3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按版本分区的功能菜单（模块一）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路由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/bookkeeping、/ledger 等页面级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工作台外壳 + 聊天会话承载全部功能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2.2 布局结构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整体分左右两栏：左侧导航栏（固定宽度 220px，版本底色）；右侧聊天工作台（自适应剩余宽度，白底）。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右侧聊天区采用“消息流”模式：上方为历史消息列表，底部为统一输入区。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输入区包含三个操作入口：文字输入框、图片上传按钮、语音按钮，三者平级。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窄屏（&lt; 768px）时导航栏可收起为图标条，聊天区占满剩余空间（响应式降级，不阻塞首版）。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2.3 路由与状态设计</w:t>
      </w:r>
    </w:p>
    <w:p>
      <w:pPr>
        <w:pStyle w:val="Heading3"/>
        <w:spacing w:after="80" w:before="180"/>
      </w:pPr>
      <w:r>
        <w:rPr>
          <w:rFonts w:ascii="微软雅黑" w:cs="微软雅黑" w:eastAsia="微软雅黑" w:hAnsi="微软雅黑"/>
          <w:b/>
          <w:bCs/>
          <w:color w:val="1F6FB2"/>
          <w:sz w:val="22"/>
          <w:szCs w:val="22"/>
        </w:rPr>
        <w:t xml:space="preserve">2.3.1 路由结构</w:t>
      </w:r>
    </w:p>
    <w:p>
      <w:pPr>
        <w:spacing w:after="4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新增工作台外壳路由，功能项不再各自占一个页面：</w:t>
      </w:r>
    </w:p>
    <w:p>
      <w:pPr>
        <w:spacing w:after="40" w:before="60" w:line="300"/>
        <w:jc w:val="left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/login → /app（工作台外壳，requireAuth）→ /app/chat/:feature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800"/>
      </w:tblGrid>
      <w:tr>
        <w:trPr>
          <w:tblHeader/>
        </w:trPr>
        <w:tc>
          <w:tcPr>
            <w:tcW w:type="dxa" w:w="20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2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8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/login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Login.vue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登录注册（沿用现有）</w:t>
            </w:r>
          </w:p>
        </w:tc>
      </w:tr>
      <w:tr>
        <w:tc>
          <w:tcPr>
            <w:tcW w:type="dxa" w:w="2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/app</w:t>
            </w:r>
          </w:p>
        </w:tc>
        <w:tc>
          <w:tcPr>
            <w:tcW w:type="dxa" w:w="3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Workbench.vue（新增）</w:t>
            </w:r>
          </w:p>
        </w:tc>
        <w:tc>
          <w:tcPr>
            <w:tcW w:type="dxa" w:w="2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左侧导航 + 右侧聊天区外壳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/app/chat/:feature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ChatView.vue（新增）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会话视图，按 feature 加载对应对话</w:t>
            </w:r>
          </w:p>
        </w:tc>
      </w:tr>
      <w:tr>
        <w:tc>
          <w:tcPr>
            <w:tcW w:type="dxa" w:w="2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/pricing</w:t>
            </w:r>
          </w:p>
        </w:tc>
        <w:tc>
          <w:tcPr>
            <w:tcW w:type="dxa" w:w="3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Pricing.vue</w:t>
            </w:r>
          </w:p>
        </w:tc>
        <w:tc>
          <w:tcPr>
            <w:tcW w:type="dxa" w:w="2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套餐页（沿用现有，改为从工作台内嵌打开）</w:t>
            </w:r>
          </w:p>
        </w:tc>
      </w:tr>
    </w:tbl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6B7280"/>
          <w:sz w:val="20"/>
          <w:szCs w:val="20"/>
        </w:rPr>
        <w:t xml:space="preserve">现有 /bookkeeping、/ledger、/analytics、/profile 页面保留，作为窄屏/过渡期入口，不阻塞首版迁移。</w:t>
      </w:r>
    </w:p>
    <w:p>
      <w:pPr>
        <w:pStyle w:val="Heading3"/>
        <w:spacing w:after="80" w:before="180"/>
      </w:pPr>
      <w:r>
        <w:rPr>
          <w:rFonts w:ascii="微软雅黑" w:cs="微软雅黑" w:eastAsia="微软雅黑" w:hAnsi="微软雅黑"/>
          <w:b/>
          <w:bCs/>
          <w:color w:val="1F6FB2"/>
          <w:sz w:val="22"/>
          <w:szCs w:val="22"/>
        </w:rPr>
        <w:t xml:space="preserve">2.3.2 会话持久化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每个功能项对应一条独立会话（chat session），互不混淆。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会话消息存库（新增 Message 表），刷新不丢失；支持会话内继续操作。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消息包含 role（user/assistant/system）、type（text/image/card/form）、payload（JSON）、关联实体（transaction/customer/attachment）。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当前代码 token 仅存 localStorage，多标签页不同步；建议改为 Pinia 持久化 + 跨标签同步（storage 事件）。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2.4 版本门控机制</w:t>
      </w:r>
    </w:p>
    <w:p>
      <w:pPr>
        <w:pStyle w:val="Heading3"/>
        <w:spacing w:after="80" w:before="180"/>
      </w:pPr>
      <w:r>
        <w:rPr>
          <w:rFonts w:ascii="微软雅黑" w:cs="微软雅黑" w:eastAsia="微软雅黑" w:hAnsi="微软雅黑"/>
          <w:b/>
          <w:bCs/>
          <w:color w:val="1F6FB2"/>
          <w:sz w:val="22"/>
          <w:szCs w:val="22"/>
        </w:rPr>
        <w:t xml:space="preserve">2.4.1 版本常量与菜单配置</w:t>
      </w:r>
    </w:p>
    <w:p>
      <w:pPr>
        <w:spacing w:after="4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在代码中集中定义功能菜单与版本门控，而非散落在各页面。建议新增 frontend/src/config/menu.js：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600"/>
      </w:tblGrid>
      <w:tr>
        <w:trPr>
          <w:tblHeader/>
        </w:trPr>
        <w:tc>
          <w:tcPr>
            <w:tcW w:type="dxa" w:w="14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代码常量</w:t>
            </w:r>
          </w:p>
        </w:tc>
        <w:tc>
          <w:tcPr>
            <w:tcW w:type="dxa" w:w="36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可见区块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免费版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free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免费版功能</w:t>
            </w:r>
          </w:p>
        </w:tc>
      </w:tr>
      <w:tr>
        <w:tc>
          <w:tcPr>
            <w:tcW w:type="dxa" w:w="1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基础版</w:t>
            </w:r>
          </w:p>
        </w:tc>
        <w:tc>
          <w:tcPr>
            <w:tcW w:type="dxa" w:w="2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basic</w:t>
            </w:r>
          </w:p>
        </w:tc>
        <w:tc>
          <w:tcPr>
            <w:tcW w:type="dxa" w:w="3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免费版 + 基础版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标准版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standard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免费版 + 基础版 + 标准版</w:t>
            </w:r>
          </w:p>
        </w:tc>
      </w:tr>
      <w:tr>
        <w:tc>
          <w:tcPr>
            <w:tcW w:type="dxa" w:w="1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专业版</w:t>
            </w:r>
          </w:p>
        </w:tc>
        <w:tc>
          <w:tcPr>
            <w:tcW w:type="dxa" w:w="2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pro</w:t>
            </w:r>
          </w:p>
        </w:tc>
        <w:tc>
          <w:tcPr>
            <w:tcW w:type="dxa" w:w="3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免费版 + 基础版 + 标准版 + 专业版</w:t>
            </w:r>
          </w:p>
        </w:tc>
      </w:tr>
    </w:tbl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菜单数据结构建议：{ id, label, icon, version, chat: { greeting, module } }，version 字段控制门控，chat 字段声明点击后的对话行为。</w:t>
      </w:r>
    </w:p>
    <w:p>
      <w:pPr>
        <w:shd w:fill="E8F1FA" w:val="clear"/>
        <w:spacing w:after="80" w:before="60" w:line="300"/>
        <w:ind w:left="120" w:right="12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【优化要点】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现有代码 subscription_plan 取值为 free/basic/advanced/clerk。上线时需在用户模型中补充 standard/pro 取值，并对存量 advanced 用户做迁移映射（advanced→standard，clerk→pro），避免老用户功能消失。</w:t>
      </w:r>
    </w:p>
    <w:p>
      <w:pPr>
        <w:pStyle w:val="Heading3"/>
        <w:spacing w:after="80" w:before="180"/>
      </w:pPr>
      <w:r>
        <w:rPr>
          <w:rFonts w:ascii="微软雅黑" w:cs="微软雅黑" w:eastAsia="微软雅黑" w:hAnsi="微软雅黑"/>
          <w:b/>
          <w:bCs/>
          <w:color w:val="1F6FB2"/>
          <w:sz w:val="22"/>
          <w:szCs w:val="22"/>
        </w:rPr>
        <w:t xml:space="preserve">2.4.2 门控判定位置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前端：按用户 subscription_plan 过滤菜单，低版本不渲染高版本区块（模块一规则）。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后端：每个受控 API 增加版本校验装饰器/中间件，防止直接调接口越权（如 export 接口仅 basic 及以上可调）。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入口拦截：免费额度用尽时，在导航入口/开场白处直接提示升级，不进入识别流程。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2.5 数据模型影响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400"/>
      </w:tblGrid>
      <w:tr>
        <w:trPr>
          <w:tblHeader/>
        </w:trPr>
        <w:tc>
          <w:tcPr>
            <w:tcW w:type="dxa" w:w="24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新增模型</w:t>
            </w:r>
          </w:p>
        </w:tc>
        <w:tc>
          <w:tcPr>
            <w:tcW w:type="dxa" w:w="22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4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Customer（客户台账）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记录经营客户/供应商往来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user_id、name、phone、type(客户/供应商)、total_amount、created_at</w:t>
            </w:r>
          </w:p>
        </w:tc>
      </w:tr>
      <w:tr>
        <w:tc>
          <w:tcPr>
            <w:tcW w:type="dxa" w:w="2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TaxReminder（报税提醒）</w:t>
            </w:r>
          </w:p>
        </w:tc>
        <w:tc>
          <w:tcPr>
            <w:tcW w:type="dxa" w:w="2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申报倒计时与配置</w:t>
            </w:r>
          </w:p>
        </w:tc>
        <w:tc>
          <w:tcPr>
            <w:tcW w:type="dxa" w:w="3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user_id、tax_type、due_date、remind_days、status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ChatSession / Message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会话持久化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user_id、feature、messages(payload JSON)、created_at</w:t>
            </w:r>
          </w:p>
        </w:tc>
      </w:tr>
      <w:tr>
        <w:tc>
          <w:tcPr>
            <w:tcW w:type="dxa" w:w="2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Attachment（附件）</w:t>
            </w:r>
          </w:p>
        </w:tc>
        <w:tc>
          <w:tcPr>
            <w:tcW w:type="dxa" w:w="2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报税底稿/凭证图片</w:t>
            </w:r>
          </w:p>
        </w:tc>
        <w:tc>
          <w:tcPr>
            <w:tcW w:type="dxa" w:w="3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user_id、message_id、type、url、created_at</w:t>
            </w:r>
          </w:p>
        </w:tc>
      </w:tr>
    </w:tbl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6B7280"/>
          <w:sz w:val="20"/>
          <w:szCs w:val="20"/>
        </w:rPr>
        <w:t xml:space="preserve">现有 Transaction 模型已具备 ai_confidence、ai_match_status、source_image_url、ModificationLog，可直接支撑核验卡片与审计需求，无需大改。</w:t>
      </w:r>
    </w:p>
    <w:p>
      <w:pPr>
        <w:pageBreakBefore/>
        <w:spacing w:after="0"/>
      </w:pPr>
      <w:r>
        <w:rPr>
          <w:rFonts w:ascii="微软雅黑" w:cs="微软雅黑" w:eastAsia="微软雅黑" w:hAnsi="微软雅黑"/>
        </w:rPr>
        <w:t xml:space="preserve"/>
      </w:r>
    </w:p>
    <w:p>
      <w:pPr>
        <w:pStyle w:val="Heading1"/>
        <w:pBdr>
          <w:bottom w:val="single" w:color="1F6FB2" w:sz="6" w:space="4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F6FB2"/>
          <w:sz w:val="30"/>
          <w:szCs w:val="30"/>
        </w:rPr>
        <w:t xml:space="preserve">三、模块一 · 左侧导航栏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本节在原始设计确认稿基础上优化，标注“【优化要点】”处为本次修订，其余沿用确认稿。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3.1 整体定位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屏幕最左侧的竖长区域，固定不动，是软件的总入口。宽度建议 220px；窄屏可收起为 64px 图标条。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3.2 布局结构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第一块 · 用户身份区：圆形头像（40px）+ 等级标签（版本名），头像在上、标签紧贴头像下方，便于横排阅读。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第二块 · 功能菜单区：按版本分四个区块，从上到下：免费版功能、基础版功能、标准版功能、专业版功能。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第三块 · 底部设置入口：单独置于最底部（个人中心 / 套餐 / 设置）。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区块之间只用文字标题 + 上下间距分隔，不画框线、不加色块背景、不加分割线。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3.3 功能菜单内容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4600"/>
      </w:tblGrid>
      <w:tr>
        <w:trPr>
          <w:tblHeader/>
        </w:trPr>
        <w:tc>
          <w:tcPr>
            <w:tcW w:type="dxa" w:w="15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区块</w:t>
            </w:r>
          </w:p>
        </w:tc>
        <w:tc>
          <w:tcPr>
            <w:tcW w:type="dxa" w:w="19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46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点击后的AI对话行为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免费版功能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AI识别记账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AI引导用户开始记账，列出三种输入方式（模块二）</w:t>
            </w:r>
          </w:p>
        </w:tc>
      </w:tr>
      <w:tr>
        <w:tc>
          <w:tcPr>
            <w:tcW w:type="dxa" w:w="15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免费版功能</w:t>
            </w:r>
          </w:p>
        </w:tc>
        <w:tc>
          <w:tcPr>
            <w:tcW w:type="dxa" w:w="19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查账</w:t>
            </w:r>
          </w:p>
        </w:tc>
        <w:tc>
          <w:tcPr>
            <w:tcW w:type="dxa" w:w="4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AI询问想查询哪个时间段的收支，展示结果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基础版功能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报表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AI生成报表展示（收支/利润趋势）</w:t>
            </w:r>
          </w:p>
        </w:tc>
      </w:tr>
      <w:tr>
        <w:tc>
          <w:tcPr>
            <w:tcW w:type="dxa" w:w="15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基础版功能</w:t>
            </w:r>
          </w:p>
        </w:tc>
        <w:tc>
          <w:tcPr>
            <w:tcW w:type="dxa" w:w="19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导出Excel</w:t>
            </w:r>
          </w:p>
        </w:tc>
        <w:tc>
          <w:tcPr>
            <w:tcW w:type="dxa" w:w="4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AI引导用户选择报表类型，确认后导出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标准版功能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客户台账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AI展示客户列表并询问操作（新增/查看/搜索）</w:t>
            </w:r>
          </w:p>
        </w:tc>
      </w:tr>
      <w:tr>
        <w:tc>
          <w:tcPr>
            <w:tcW w:type="dxa" w:w="15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标准版功能</w:t>
            </w:r>
          </w:p>
        </w:tc>
        <w:tc>
          <w:tcPr>
            <w:tcW w:type="dxa" w:w="19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收支详细账本</w:t>
            </w:r>
          </w:p>
        </w:tc>
        <w:tc>
          <w:tcPr>
            <w:tcW w:type="dxa" w:w="4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AI引导选择时间范围并展示明细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标准版功能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报税日期提醒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AI显示各税种申报倒计时</w:t>
            </w:r>
          </w:p>
        </w:tc>
      </w:tr>
      <w:tr>
        <w:tc>
          <w:tcPr>
            <w:tcW w:type="dxa" w:w="15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标准版功能</w:t>
            </w:r>
          </w:p>
        </w:tc>
        <w:tc>
          <w:tcPr>
            <w:tcW w:type="dxa" w:w="19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报税底稿</w:t>
            </w:r>
          </w:p>
        </w:tc>
        <w:tc>
          <w:tcPr>
            <w:tcW w:type="dxa" w:w="4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AI引导选择报表类型并生成底稿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专业版功能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客户台账（不限量）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AI展示客户列表，不受数量限制</w:t>
            </w:r>
          </w:p>
        </w:tc>
      </w:tr>
    </w:tbl>
    <w:p>
      <w:pPr>
        <w:shd w:fill="E8F1FA" w:val="clear"/>
        <w:spacing w:after="80" w:before="60" w:line="300"/>
        <w:ind w:left="120" w:right="12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【优化要点】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冲突处理：原设计中“客户台账”同时出现在标准版与专业版区块。同一功能在两个区块重复出现会造成导航歧义。优化为：客户台账仅出现在专业版区块（标注“不限量”），标准版不再重复列示。若产品坚持两个版本都显示，则建议标准版显示“客户台账（限量）”并用角标标注数量上限，避免视觉重复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3.4 区块可见规则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用户当前版本，可见从“免费版”到“当前版本”的所有区块。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免费版 → 只见免费版区块；基础版 → 免费版+基础版；标准版 → 免费版+基础版+标准版；专业版 → 全部四个区块。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【优化要点】区块标题即分隔元素。低版本用户看不到更高版本区块时，区块顺序固定，标题位置恒定，避免界面跳动。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【优化要点】版本升级/降级后，前端根据用户信息实时重新渲染菜单，无需刷新页面。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3.5 背景颜色</w:t>
      </w:r>
    </w:p>
    <w:p>
      <w:pPr>
        <w:spacing w:after="4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左侧导航栏统一底色随当前用户版本变化，颜色淡到不刺眼、与白底不冲突：</w:t>
      </w:r>
    </w:p>
    <w:tbl>
      <w:tblPr>
        <w:tblW w:type="dxa" w:w="6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600"/>
      </w:tblGrid>
      <w:tr>
        <w:trPr>
          <w:tblHeader/>
        </w:trPr>
        <w:tc>
          <w:tcPr>
            <w:tcW w:type="dxa" w:w="16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底色（示意）</w:t>
            </w:r>
          </w:p>
        </w:tc>
        <w:tc>
          <w:tcPr>
            <w:tcW w:type="dxa" w:w="26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设计值建议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免费版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极淡灰色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#F7F8FA</w:t>
            </w:r>
          </w:p>
        </w:tc>
      </w:tr>
      <w:tr>
        <w:tc>
          <w:tcPr>
            <w:tcW w:type="dxa" w:w="1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基础版</w:t>
            </w:r>
          </w:p>
        </w:tc>
        <w:tc>
          <w:tcPr>
            <w:tcW w:type="dxa" w:w="2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极淡蓝色</w:t>
            </w:r>
          </w:p>
        </w:tc>
        <w:tc>
          <w:tcPr>
            <w:tcW w:type="dxa" w:w="2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#F0F6FC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标准版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极淡橙色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#FDF6EE</w:t>
            </w:r>
          </w:p>
        </w:tc>
      </w:tr>
      <w:tr>
        <w:tc>
          <w:tcPr>
            <w:tcW w:type="dxa" w:w="1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专业版</w:t>
            </w:r>
          </w:p>
        </w:tc>
        <w:tc>
          <w:tcPr>
            <w:tcW w:type="dxa" w:w="2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极淡紫色</w:t>
            </w:r>
          </w:p>
        </w:tc>
        <w:tc>
          <w:tcPr>
            <w:tcW w:type="dxa" w:w="2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#F6F3FC</w:t>
            </w:r>
          </w:p>
        </w:tc>
      </w:tr>
    </w:tbl>
    <w:p>
      <w:pPr>
        <w:shd w:fill="E8F1FA" w:val="clear"/>
        <w:spacing w:after="80" w:before="60" w:line="300"/>
        <w:ind w:left="120" w:right="12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【优化要点】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建议底色用 CSS 变量统一管理（如 --nav-bg-free / --nav-bg-basic …），由用户版本动态切换。同色系的选中态在底色基础上加深 6%–10%，保证可辨识度。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3.6 选中状态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被点击的功能项，叠加一层同色系浅色圆角背景（参考 iOS 18 圆润质感）。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建议：圆角 8–10px，左右留 8px 内边距，图标 + 文字整行高亮。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选中态示例：基础版（浅蓝底）时，选中项背景为 #D8E8F8，文字加深为 #1F6FB2。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3.7 功能项点击行为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点击任意功能项，右侧聊天区立即出现对应 AI 对话（开场白）。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同一功能项重复点击：不重复插入开场白，滚动定位到该功能对应会话。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具体对话内容由各功能模块单独设计（本设计覆盖 AI识别记账；其余模块预留会话注册表）。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【优化要点】新增“会话注册表”设计：每个功能项声明一个 module 处理器，统一管理开场白、输入策略、消息渲染组件，避免聊天区逻辑堆成巨石。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3.8 折叠状态与分隔方式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所有区块默认完全展开，无折叠功能。用户进入页面即看到所有可见区块与功能项。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区块之间不画框线、不加色块、不加分割线，仅靠文字标题与上下间距自然隔开。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【优化要点】为保证“无框线”时区块仍清晰可辨，区块标题统一字号（13px）、统一上下间距（16–20px），功能项缩进对齐。</w:t>
      </w:r>
    </w:p>
    <w:p>
      <w:pPr>
        <w:pageBreakBefore/>
        <w:spacing w:after="0"/>
      </w:pPr>
      <w:r>
        <w:rPr>
          <w:rFonts w:ascii="微软雅黑" w:cs="微软雅黑" w:eastAsia="微软雅黑" w:hAnsi="微软雅黑"/>
        </w:rPr>
        <w:t xml:space="preserve"/>
      </w:r>
    </w:p>
    <w:p>
      <w:pPr>
        <w:pStyle w:val="Heading1"/>
        <w:pBdr>
          <w:bottom w:val="single" w:color="1F6FB2" w:sz="6" w:space="4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F6FB2"/>
          <w:sz w:val="30"/>
          <w:szCs w:val="30"/>
        </w:rPr>
        <w:t xml:space="preserve">四、模块二 · AI识别记账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4.1 模块定位与入口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用户进入记账功能后的核心交互区，所有记账操作在右侧聊天区内完成，不跳出当前界面。入口为左侧导航栏「AI识别记账」。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4.2 三种输入方式</w:t>
      </w:r>
    </w:p>
    <w:p>
      <w:pPr>
        <w:spacing w:after="4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同一界面内自由切换，用户任意选择。统一输入区设计：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400"/>
      </w:tblGrid>
      <w:tr>
        <w:trPr>
          <w:tblHeader/>
        </w:trPr>
        <w:tc>
          <w:tcPr>
            <w:tcW w:type="dxa" w:w="14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输入方式</w:t>
            </w:r>
          </w:p>
        </w:tc>
        <w:tc>
          <w:tcPr>
            <w:tcW w:type="dxa" w:w="32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交互</w:t>
            </w:r>
          </w:p>
        </w:tc>
        <w:tc>
          <w:tcPr>
            <w:tcW w:type="dxa" w:w="34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数据流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文字输入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输入框直接输入自然语言，如“今天买菜花了235元”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AI 解析关键字段 → 信息补全 → 核验卡片</w:t>
            </w:r>
          </w:p>
        </w:tc>
      </w:tr>
      <w:tr>
        <w:tc>
          <w:tcPr>
            <w:tcW w:type="dxa" w:w="1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图片上传</w:t>
            </w:r>
          </w:p>
        </w:tc>
        <w:tc>
          <w:tcPr>
            <w:tcW w:type="dxa" w:w="3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上传小票/进货单/微信截图照片</w:t>
            </w:r>
          </w:p>
        </w:tc>
        <w:tc>
          <w:tcPr>
            <w:tcW w:type="dxa" w:w="3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AI 视觉识别（现有 /api/ai/recognize 双次识别）→ 逐条呈现 → 核验卡片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语音输入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按住录音，松开发送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语音转文字（现有 /api/ai/voice 占位，需接入）→ 同文字流程</w:t>
            </w:r>
          </w:p>
        </w:tc>
      </w:tr>
    </w:tbl>
    <w:p>
      <w:pPr>
        <w:shd w:fill="E8F1FA" w:val="clear"/>
        <w:spacing w:after="80" w:before="60" w:line="300"/>
        <w:ind w:left="120" w:right="12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【优化要点】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现有 VoiceRecorder 已实现录音与回放，但后端 /api/ai/voice 为 501 占位。首版可先用浏览器 Web Speech API 做语音转文字，或接入第三方 ASR，文本进入与文字输入相同的信息补全流程。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4.3 AI开场白</w:t>
      </w:r>
    </w:p>
    <w:p>
      <w:pPr>
        <w:spacing w:after="4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用户点击「AI识别记账」后，AI 主动发起第一轮对话，以气泡形式出现在右侧聊天区。内容含三项：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告知当前处于记账状态。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列出三种可用操作方式：文字输入、图片上传、语音输入（平级展示，不设优先级）。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结束等待用户输入，不解释技术细节、不说明限额规则、不包含品牌宣传。</w:t>
      </w:r>
    </w:p>
    <w:p>
      <w:pPr>
        <w:spacing w:after="4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开场白文案建议（简洁、自然、口语化）：</w:t>
      </w:r>
    </w:p>
    <w:p>
      <w:pPr>
        <w:spacing w:after="120"/>
        <w:ind w:left="240"/>
      </w:pPr>
      <w:r>
        <w:rPr>
          <w:rFonts w:ascii="微软雅黑" w:cs="微软雅黑" w:eastAsia="微软雅黑" w:hAnsi="微软雅黑"/>
          <w:i/>
          <w:iCs/>
          <w:color w:val="6B7280"/>
          <w:sz w:val="21"/>
          <w:szCs w:val="21"/>
        </w:rPr>
        <w:t xml:space="preserve">“您好，我是您的AI记账文员，现在可以开始记账了。您可以直接打字告诉我，或上传小票照片，也可以用语音说。”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4.4 信息补全原则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系统自动识别信息是否完整；缺少必要字段时主动追问缺失内容，直到完整才进入下一步。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只补缺项，不问多余问题。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必要字段：交易日期、金额、类型（收入/支出）、分类。供应商、备注为可选项。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分类缺失时追问顺序（优先级）：餐饮 → 采购 → 租金 → 工资 → 交通 → 其他。</w:t>
      </w:r>
    </w:p>
    <w:p>
      <w:pPr>
        <w:shd w:fill="E8F1FA" w:val="clear"/>
        <w:spacing w:after="80" w:before="60" w:line="300"/>
        <w:ind w:left="120" w:right="12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【优化要点】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原始设计分类顺序为“餐饮、采购、租金、工资、交通、其他”，与现有代码 12 个默认分类（食材、酒水饮料、房租、工资、水电燃气、耗材餐具、设备维修、运输配送、税费管理、其他支出、营业收入、其他收入）不完全一致。建议统一为“餐饮（食材/酒水）→ 房租 → 工资 → 水电/耗材 → 交通配送 → 其他”，由后端分类接口动态下发，前端不写死。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4.5 数据可信度阈值原则（核心）</w:t>
      </w:r>
    </w:p>
    <w:p>
      <w:pPr>
        <w:spacing w:after="4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原设计以“95% 确认度”为阈值。由于现有模型输出的是 high/medium/low 三档置信度而非数值百分比，优化为可判定规则：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000"/>
      </w:tblGrid>
      <w:tr>
        <w:trPr>
          <w:tblHeader/>
        </w:trPr>
        <w:tc>
          <w:tcPr>
            <w:tcW w:type="dxa" w:w="18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确认度判定</w:t>
            </w:r>
          </w:p>
        </w:tc>
        <w:tc>
          <w:tcPr>
            <w:tcW w:type="dxa" w:w="32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判定规则（可执行）</w:t>
            </w:r>
          </w:p>
        </w:tc>
        <w:tc>
          <w:tcPr>
            <w:tcW w:type="dxa" w:w="30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≥ 95%（高可信）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双次识别结果一致，且字段置信度为 high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直接填入核验卡片高可信区，不提问</w:t>
            </w:r>
          </w:p>
        </w:tc>
      </w:tr>
      <w:tr>
        <w:tc>
          <w:tcPr>
            <w:tcW w:type="dxa" w:w="1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&lt; 95%（低可信）</w:t>
            </w:r>
          </w:p>
        </w:tc>
        <w:tc>
          <w:tcPr>
            <w:tcW w:type="dxa" w:w="3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字段置信度为 medium/low，或双次识别结果不一致</w:t>
            </w:r>
          </w:p>
        </w:tc>
        <w:tc>
          <w:tcPr>
            <w:tcW w:type="dxa" w:w="3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填入核验卡片低可信区，逐条列出 + 位置提示 + 确认按钮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完全识别不了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字段无结果 / 空值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AI 明确告知是哪一项识别不了、标注位置，请用户补充或重拍</w:t>
            </w:r>
          </w:p>
        </w:tc>
      </w:tr>
    </w:tbl>
    <w:p>
      <w:pPr>
        <w:shd w:fill="E8F1FA" w:val="clear"/>
        <w:spacing w:after="80" w:before="60" w:line="300"/>
        <w:ind w:left="120" w:right="12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【优化要点】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映射关系：现有 DeepSeek 提示词输出 confidence_date/amount/category/supplier 四档 high/medium/low；双次识别（温度 0.3/0.7）金额差 ≤2% 判 high。因此“≥95%”落地为：字段置信度=high 且双次一致；否则进低可信区。无需改动识别服务核心逻辑，只需扩展前端核验卡片的呈现。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4.6 逐步呈现原则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图片识别结果不一次性全部弹出，逐条缓慢出现（如每条间隔 300–500ms），让用户看到数据提取过程。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每条数据附带可信度状态徽标（高=绿/中=黄/低=红）。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呈现顺序建议：日期 → 类型 → 金额 → 分类 → 供应商 → 备注（与现有 prompt 提取字段顺序一致）。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4.7 风险提示原则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400"/>
      </w:tblGrid>
      <w:tr>
        <w:trPr>
          <w:tblHeader/>
        </w:trPr>
        <w:tc>
          <w:tcPr>
            <w:tcW w:type="dxa" w:w="14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32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4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呈现方式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高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图片模糊/遮挡/折痕导致识别不清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顶部风险横幅（浅红底）+ 对应字段标红</w:t>
            </w:r>
          </w:p>
        </w:tc>
      </w:tr>
      <w:tr>
        <w:tc>
          <w:tcPr>
            <w:tcW w:type="dxa" w:w="1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中</w:t>
            </w:r>
          </w:p>
        </w:tc>
        <w:tc>
          <w:tcPr>
            <w:tcW w:type="dxa" w:w="3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手写单据、部分字段不确定</w:t>
            </w:r>
          </w:p>
        </w:tc>
        <w:tc>
          <w:tcPr>
            <w:tcW w:type="dxa" w:w="3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字段背景浅黄 + 确认按钮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低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字段缺失需补充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字段高亮 + 引导补充提示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4.8 核验确认卡片（核心交付物）</w:t>
      </w:r>
    </w:p>
    <w:p>
      <w:pPr>
        <w:spacing w:after="4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所有数据入库前必须经用户核对，以卡片形式集中展示。卡片分为两个区域：</w:t>
      </w:r>
    </w:p>
    <w:p>
      <w:pPr>
        <w:pStyle w:val="Heading3"/>
        <w:spacing w:after="80" w:before="180"/>
      </w:pPr>
      <w:r>
        <w:rPr>
          <w:rFonts w:ascii="微软雅黑" w:cs="微软雅黑" w:eastAsia="微软雅黑" w:hAnsi="微软雅黑"/>
          <w:b/>
          <w:bCs/>
          <w:color w:val="1F6FB2"/>
          <w:sz w:val="22"/>
          <w:szCs w:val="22"/>
        </w:rPr>
        <w:t xml:space="preserve">4.8.1 高可信度数据区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≥95% 确认度字段直接填入，不加疑问标记。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展示：字段名 + 值，绿色对勾角标。</w:t>
      </w:r>
    </w:p>
    <w:p>
      <w:pPr>
        <w:pStyle w:val="Heading3"/>
        <w:spacing w:after="80" w:before="180"/>
      </w:pPr>
      <w:r>
        <w:rPr>
          <w:rFonts w:ascii="微软雅黑" w:cs="微软雅黑" w:eastAsia="微软雅黑" w:hAnsi="微软雅黑"/>
          <w:b/>
          <w:bCs/>
          <w:color w:val="1F6FB2"/>
          <w:sz w:val="22"/>
          <w:szCs w:val="22"/>
        </w:rPr>
        <w:t xml:space="preserve">4.8.2 低可信度数据区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低于 95% 确认度字段统一整合，集中列出。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每条附位置提示（所在行/列、旁边字段，如“金额右侧手写数字”“供应商栏潦草”），方便定位。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每条后面跟一个确认按钮；点击后弹出修正输入框，或“确认无误”直接采纳。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所有低可信度字段处理完毕，卡片底部出现“全部确认，入库”按钮。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未处理完的低可信度字段，入库按钮置灰不可点。</w:t>
      </w:r>
    </w:p>
    <w:p>
      <w:pPr>
        <w:spacing w:after="4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卡片结构示意：</w:t>
      </w:r>
    </w:p>
    <w:p>
      <w:pPr>
        <w:shd w:fill="F7F9FC" w:val="clear"/>
        <w:spacing w:after="160"/>
        <w:ind w:left="240"/>
      </w:pPr>
      <w:r>
        <w:rPr>
          <w:rFonts w:ascii="微软雅黑" w:cs="微软雅黑" w:eastAsia="微软雅黑" w:hAnsi="微软雅黑"/>
          <w:color w:val="2D3748"/>
          <w:sz w:val="19"/>
          <w:szCs w:val="19"/>
        </w:rPr>
        <w:t xml:space="preserve">【高可信区】日期 2026-08-02 ✓ · 金额 ¥235.50 ✓ · 类型 支出 ✓
【低可信区】分类：食材？[位置：清单第一行] [修正] [确认]
  供应商：张三？[位置：右下角签名] [修正] [确认]
[ 全部确认，入库 ]（低可信字段全部处理后点亮）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/>
          <w:bCs/>
          <w:color w:val="B7791F"/>
          <w:sz w:val="21"/>
          <w:szCs w:val="21"/>
        </w:rPr>
        <w:t xml:space="preserve">每张卡片附带风险提示：“数据将影响报表与报税，请核对确认”。用户必须主动点击确认才能入库。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4.9 完成反馈与衔接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入库成功：明确反馈（如“已入账：支出 ¥235.50，分类 食材”），并主动询问是否继续操作。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入库成功后同步刷新该会话内的“今日快览”摘要。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失败反馈：简洁明了，引导重试或更换输入方式，不出现技术性错误信息。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4.10 限额处理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免费用户剩余次数为 0 时，在入口处直接拦截并提示升级（不进入记账流程）。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免费用户每次识别成功扣减一次（现有逻辑已实现）。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基础版及以上不限制识别次数。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4.11 异常处理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2400"/>
      </w:tblGrid>
      <w:tr>
        <w:trPr>
          <w:tblHeader/>
        </w:trPr>
        <w:tc>
          <w:tcPr>
            <w:tcW w:type="dxa" w:w="20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异常场景</w:t>
            </w:r>
          </w:p>
        </w:tc>
        <w:tc>
          <w:tcPr>
            <w:tcW w:type="dxa" w:w="36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反馈文案（示例）</w:t>
            </w:r>
          </w:p>
        </w:tc>
        <w:tc>
          <w:tcPr>
            <w:tcW w:type="dxa" w:w="24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引导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图片识别超时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“识别超时，请检查网络后重试”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重试或改文字/语音</w:t>
            </w:r>
          </w:p>
        </w:tc>
      </w:tr>
      <w:tr>
        <w:tc>
          <w:tcPr>
            <w:tcW w:type="dxa" w:w="2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图片无法识别</w:t>
            </w:r>
          </w:p>
        </w:tc>
        <w:tc>
          <w:tcPr>
            <w:tcW w:type="dxa" w:w="3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“这张图片没有识别到有效内容，请换一张清晰的”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重拍或手动输入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语音无权限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“请允许麦克风权限后再试”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引导开启权限</w:t>
            </w:r>
          </w:p>
        </w:tc>
      </w:tr>
      <w:tr>
        <w:tc>
          <w:tcPr>
            <w:tcW w:type="dxa" w:w="2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网络错误</w:t>
            </w:r>
          </w:p>
        </w:tc>
        <w:tc>
          <w:tcPr>
            <w:tcW w:type="dxa" w:w="3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“网络似乎不太稳定，请稍后再试”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重试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4.12 提示词设计方向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结构化指导 + 自然语言兼容：引导按规范输入，同时允许自然语言，AI 提取关键字段。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信息完整性驱动：识别到缺失字段时，提示词自动转向补充询问。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入库前核验：必须包含核验引导，未经核验不入库。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识别结果透明度：让用户知道哪些字段已识别、哪些待确认。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报错口语化：避免技术术语。</w:t>
      </w:r>
    </w:p>
    <w:p>
      <w:pPr>
        <w:shd w:fill="E8F1FA" w:val="clear"/>
        <w:spacing w:after="80" w:before="60" w:line="300"/>
        <w:ind w:left="120" w:right="12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【优化要点】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现有 backend/prompts/receipt_prompt.txt 已很完善（97 行，含 12 分类规则、置信度规则、严格 JSON 格式）。建议在此基础上增加：低可信度字段的“位置提示”输出（如行/列、相邻字段）、缺失字段列表输出，供前端渲染核验卡片。</w:t>
      </w:r>
    </w:p>
    <w:p>
      <w:pPr>
        <w:pageBreakBefore/>
        <w:spacing w:after="0"/>
      </w:pPr>
      <w:r>
        <w:rPr>
          <w:rFonts w:ascii="微软雅黑" w:cs="微软雅黑" w:eastAsia="微软雅黑" w:hAnsi="微软雅黑"/>
        </w:rPr>
        <w:t xml:space="preserve"/>
      </w:r>
    </w:p>
    <w:p>
      <w:pPr>
        <w:pStyle w:val="Heading1"/>
        <w:pBdr>
          <w:bottom w:val="single" w:color="1F6FB2" w:sz="6" w:space="4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F6FB2"/>
          <w:sz w:val="30"/>
          <w:szCs w:val="30"/>
        </w:rPr>
        <w:t xml:space="preserve">五、与现有代码的差异映射</w:t>
      </w:r>
    </w:p>
    <w:p>
      <w:pPr>
        <w:spacing w:after="4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新设计落地所需改动的现有代码清单：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5.1 前端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600"/>
      </w:tblGrid>
      <w:tr>
        <w:trPr>
          <w:tblHeader/>
        </w:trPr>
        <w:tc>
          <w:tcPr>
            <w:tcW w:type="dxa" w:w="34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46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改动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src/App.vue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底部 Tab 替换为桌面工作台外壳（或保留移动端、新增桌面布局）</w:t>
            </w:r>
          </w:p>
        </w:tc>
      </w:tr>
      <w:tr>
        <w:tc>
          <w:tcPr>
            <w:tcW w:type="dxa" w:w="3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src/router/index.js</w:t>
            </w:r>
          </w:p>
        </w:tc>
        <w:tc>
          <w:tcPr>
            <w:tcW w:type="dxa" w:w="4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新增 /app、/app/chat/:feature 路由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src/config/menu.js（新增）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菜单配置 + 版本门控 + 会话注册表</w:t>
            </w:r>
          </w:p>
        </w:tc>
      </w:tr>
      <w:tr>
        <w:tc>
          <w:tcPr>
            <w:tcW w:type="dxa" w:w="3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src/views/Workbench.vue（新增）</w:t>
            </w:r>
          </w:p>
        </w:tc>
        <w:tc>
          <w:tcPr>
            <w:tcW w:type="dxa" w:w="4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左侧导航 + 右侧聊天区外壳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src/views/ChatView.vue（新增）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聊天消息流 + 统一输入区</w:t>
            </w:r>
          </w:p>
        </w:tc>
      </w:tr>
      <w:tr>
        <w:tc>
          <w:tcPr>
            <w:tcW w:type="dxa" w:w="3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src/components/ReceiptUploader.vue</w:t>
            </w:r>
          </w:p>
        </w:tc>
        <w:tc>
          <w:tcPr>
            <w:tcW w:type="dxa" w:w="4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识别结果改为聊天气泡 + 核验卡片呈现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src/components/ConfirmDialog.vue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升级为“高/低可信度分区核验卡片”</w:t>
            </w:r>
          </w:p>
        </w:tc>
      </w:tr>
      <w:tr>
        <w:tc>
          <w:tcPr>
            <w:tcW w:type="dxa" w:w="3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src/components/EditTransaction.vue</w:t>
            </w:r>
          </w:p>
        </w:tc>
        <w:tc>
          <w:tcPr>
            <w:tcW w:type="dxa" w:w="4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分类选项改为动态接口，修正硬编码分类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src/stores/user.js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版本常量映射更新（standard/pro）</w:t>
            </w:r>
          </w:p>
        </w:tc>
      </w:tr>
      <w:tr>
        <w:tc>
          <w:tcPr>
            <w:tcW w:type="dxa" w:w="3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src/api/ai.js</w:t>
            </w:r>
          </w:p>
        </w:tc>
        <w:tc>
          <w:tcPr>
            <w:tcW w:type="dxa" w:w="4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语音端点从占位改为真实调用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src/stores/bookkeeping.js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改为会话维度存储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5.2 后端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600"/>
      </w:tblGrid>
      <w:tr>
        <w:trPr>
          <w:tblHeader/>
        </w:trPr>
        <w:tc>
          <w:tcPr>
            <w:tcW w:type="dxa" w:w="34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46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改动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models/user.py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subscription_plan 补充 standard/pro；存量 advanced/clerk 迁移映射</w:t>
            </w:r>
          </w:p>
        </w:tc>
      </w:tr>
      <w:tr>
        <w:tc>
          <w:tcPr>
            <w:tcW w:type="dxa" w:w="3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models/customer.py（新增）</w:t>
            </w:r>
          </w:p>
        </w:tc>
        <w:tc>
          <w:tcPr>
            <w:tcW w:type="dxa" w:w="4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客户台账数据模型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models/tax_reminder.py（新增）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报税提醒数据模型</w:t>
            </w:r>
          </w:p>
        </w:tc>
      </w:tr>
      <w:tr>
        <w:tc>
          <w:tcPr>
            <w:tcW w:type="dxa" w:w="3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models/message.py（新增）</w:t>
            </w:r>
          </w:p>
        </w:tc>
        <w:tc>
          <w:tcPr>
            <w:tcW w:type="dxa" w:w="4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会话消息持久化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routes/referral.py（实现）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现为占位（app.py 注册但文件缺失），Profile 页依赖</w:t>
            </w:r>
          </w:p>
        </w:tc>
      </w:tr>
      <w:tr>
        <w:tc>
          <w:tcPr>
            <w:tcW w:type="dxa" w:w="3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routes/payment.py（实现）</w:t>
            </w:r>
          </w:p>
        </w:tc>
        <w:tc>
          <w:tcPr>
            <w:tcW w:type="dxa" w:w="4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现为占位，套餐购买需要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routes/ai.py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voice 端点实现；recognize 返回低可信字段位置提示</w:t>
            </w:r>
          </w:p>
        </w:tc>
      </w:tr>
      <w:tr>
        <w:tc>
          <w:tcPr>
            <w:tcW w:type="dxa" w:w="3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services/deepseek_service.py</w:t>
            </w:r>
          </w:p>
        </w:tc>
        <w:tc>
          <w:tcPr>
            <w:tcW w:type="dxa" w:w="4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prompt 增加位置提示/缺失字段输出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services/export_service.py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支持报表类型选择（明细/汇总/按分类）</w:t>
            </w:r>
          </w:p>
        </w:tc>
      </w:tr>
      <w:tr>
        <w:tc>
          <w:tcPr>
            <w:tcW w:type="dxa" w:w="3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routes/transaction.py</w:t>
            </w:r>
          </w:p>
        </w:tc>
        <w:tc>
          <w:tcPr>
            <w:tcW w:type="dxa" w:w="4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增加版本门控校验装饰器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3748"/>
          <w:sz w:val="25"/>
          <w:szCs w:val="25"/>
        </w:rPr>
        <w:t xml:space="preserve">5.3 已知问题清单（建议一并修复）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前后端分类不一致：后端 12 默认分类 vs 前端 EditTransaction/Ledger 硬编码“餐饮/交通/购物”一套。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/api/referrals、/api/payments 后端注册但文件缺失，被静默跳过。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Analytics 页 fetchComparison 解析字段与后端 /comparison 返回结构不匹配（数字卡片显示 0）。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ChartPanel 柱/折线图读 d.date，后端 /trend 返回 period，X 轴可能为空。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生产环境 CORS 全开、JWT_SECRET_KEY 默认值兜底，部署需加固。</w:t>
      </w:r>
    </w:p>
    <w:p>
      <w:pPr>
        <w:pStyle w:val="ListParagraph"/>
        <w:numPr>
          <w:ilvl w:val="0"/>
          <w:numId w:val="1"/>
        </w:numPr>
        <w:spacing w:after="30" w:before="3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存在 backend/routes/transaction.py.bak 备份文件，建议清理。</w:t>
      </w:r>
    </w:p>
    <w:p>
      <w:pPr>
        <w:pStyle w:val="Heading1"/>
        <w:pBdr>
          <w:bottom w:val="single" w:color="1F6FB2" w:sz="6" w:space="4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F6FB2"/>
          <w:sz w:val="30"/>
          <w:szCs w:val="30"/>
        </w:rPr>
        <w:t xml:space="preserve">六、开发顺序建议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00"/>
      </w:tblGrid>
      <w:tr>
        <w:trPr>
          <w:tblHeader/>
        </w:trPr>
        <w:tc>
          <w:tcPr>
            <w:tcW w:type="dxa" w:w="18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2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000"/>
            <w:shd w:fill="1F6F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1 · 底座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工作台外壳 + 路由 + 版本门控 + 会话骨架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先跑通“点导航→出对话”</w:t>
            </w:r>
          </w:p>
        </w:tc>
      </w:tr>
      <w:tr>
        <w:tc>
          <w:tcPr>
            <w:tcW w:type="dxa" w:w="1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2 · 模块一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左侧导航栏完整实现（底色/选中态/区块规则）</w:t>
            </w:r>
          </w:p>
        </w:tc>
        <w:tc>
          <w:tcPr>
            <w:tcW w:type="dxa" w:w="3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不依赖后端新模型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3 · 模块二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AI识别记账聊天流程 + 核验卡片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复用现有 recognize 接口，增强 prompt</w:t>
            </w:r>
          </w:p>
        </w:tc>
      </w:tr>
      <w:tr>
        <w:tc>
          <w:tcPr>
            <w:tcW w:type="dxa" w:w="1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4 · 基础版功能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报表、导出Excel 接入聊天</w:t>
            </w:r>
          </w:p>
        </w:tc>
        <w:tc>
          <w:tcPr>
            <w:tcW w:type="dxa" w:w="3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复用现有 analytics/export 接口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5 · 标准版功能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客户台账、详细账本、报税提醒、报税底稿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需新增 Customer/TaxReminder 模型</w:t>
            </w:r>
          </w:p>
        </w:tc>
      </w:tr>
      <w:tr>
        <w:tc>
          <w:tcPr>
            <w:tcW w:type="dxa" w:w="1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6 · 专业版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客户台账不限量 + 套餐购买闭环</w:t>
            </w:r>
          </w:p>
        </w:tc>
        <w:tc>
          <w:tcPr>
            <w:tcW w:type="dxa" w:w="3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color w:val="2D3748"/>
                <w:sz w:val="19"/>
                <w:szCs w:val="19"/>
              </w:rPr>
              <w:t xml:space="preserve">依赖 payment 路由实现</w:t>
            </w:r>
          </w:p>
        </w:tc>
      </w:tr>
    </w:tbl>
    <w:p>
      <w:pPr>
        <w:spacing w:after="60"/>
      </w:pPr>
    </w:p>
    <w:p>
      <w:pPr>
        <w:spacing w:before="400"/>
        <w:jc w:val="center"/>
      </w:pP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—— 文档结束 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2D374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2026-08-06T16:08:52.755Z</dcterms:created>
  <dcterms:modified xsi:type="dcterms:W3CDTF">2026-08-06T16:08:52.755Z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