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SeeSize 概要需求文档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color w:val="555555"/>
          <w:sz w:val="26"/>
        </w:rPr>
        <w:t>多服务器资源监控与磁盘异常定位系统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项目名称  SeeSize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版本 0.1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概要需求基线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日期  2026年9月12日</w:t>
      </w:r>
    </w:p>
    <w:p>
      <w:r>
        <w:br w:type="page"/>
      </w:r>
    </w:p>
    <w:p>
      <w:pPr>
        <w:pStyle w:val="Heading1"/>
      </w:pPr>
      <w:r>
        <w:t>文档目的</w:t>
      </w:r>
    </w:p>
    <w:p>
      <w:pPr>
        <w:ind w:firstLine="420"/>
      </w:pPr>
      <w:r>
        <w:rPr>
          <w:rFonts w:ascii="SimSun" w:hAnsi="SimSun" w:eastAsia="SimSun"/>
          <w:sz w:val="21"/>
        </w:rPr>
        <w:t>本文档定义 SeeSize 第一阶段的产品范围、主要用户流程、功能需求、非功能要求和验收边界，用于后续原型、技术设计、开发排期和测试。本文档保持概要级别，不展开接口字段、数据库表结构和每个页面的交互细节。未明确列入第一阶段的能力不应阻塞 MVP 交付。</w:t>
      </w:r>
    </w:p>
    <w:p>
      <w:pPr>
        <w:pStyle w:val="Heading1"/>
      </w:pPr>
      <w:r>
        <w:t>产品概述</w:t>
      </w:r>
    </w:p>
    <w:p>
      <w:pPr>
        <w:ind w:firstLine="420"/>
      </w:pPr>
      <w:r>
        <w:rPr>
          <w:rFonts w:ascii="SimSun" w:hAnsi="SimSun" w:eastAsia="SimSun"/>
          <w:sz w:val="21"/>
        </w:rPr>
        <w:t>SeeSize 是一套自托管的多服务器资源监控与磁盘空间异常定位系统。用户在每台 Linux 服务器上安装轻量 Agent，并通过一个 Web 面板查看服务器状态、系统信息、CPU、内存、网络、磁盘和历史趋势。当磁盘容量异常增长时，系统能够启动受控目录扫描，比较前后目录快照，并展示主要增长路径。</w:t>
      </w:r>
    </w:p>
    <w:p>
      <w:pPr>
        <w:pStyle w:val="Heading1"/>
      </w:pPr>
      <w:r>
        <w:t>第一阶段目标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让用户在一个页面管理和观察多台 Linux 服务器。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保存可查询的短期与长期资源历史，并控制数据库增长。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发现磁盘空间异常，并解释主要增长目录。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让目录扫描在资源有限的服务器上可限制 可暂停 可取消。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提供满足自托管场景的设备认证 传输安全和最小权限。</w:t>
      </w:r>
    </w:p>
    <w:p>
      <w:pPr>
        <w:pStyle w:val="Heading1"/>
      </w:pPr>
      <w:r>
        <w:t>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35"/>
        <w:gridCol w:w="4635"/>
      </w:tblGrid>
      <w:tr>
        <w:trPr>
          <w:tblHeader w:val="true"/>
          <w:cantSplit/>
        </w:trPr>
        <w:tc>
          <w:tcPr>
            <w:tcW w:type="dxa" w:w="2154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576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权限和任务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系统管理员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登录中心端 添加或撤销服务器 配置监控和扫描 查看全部数据与审计记录</w:t>
            </w:r>
          </w:p>
        </w:tc>
      </w:tr>
      <w:tr>
        <w:trPr>
          <w:cantSplit/>
        </w:trPr>
        <w:tc>
          <w:tcPr>
            <w:tcW w:type="dxa" w:w="215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普通查看用户</w:t>
            </w:r>
          </w:p>
        </w:tc>
        <w:tc>
          <w:tcPr>
            <w:tcW w:type="dxa" w:w="65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查看被授权服务器的状态 历史图表 异常事件和磁盘分析结果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服务器 Agent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以设备身份上报所属服务器数据 接收允许范围内的扫描任务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SimSun" w:hAnsi="SimSun" w:eastAsia="SimSun"/>
          <w:sz w:val="21"/>
        </w:rPr>
        <w:t>MVP 可以只实现管理员账号和 Agent 设备身份。普通查看用户属于优先级较低的扩展，但数据模型应避免把用户与设备身份混为一类。</w:t>
      </w:r>
    </w:p>
    <w:p>
      <w:pPr>
        <w:pStyle w:val="Heading1"/>
      </w:pPr>
      <w:r>
        <w:t>产品范围</w:t>
      </w:r>
    </w:p>
    <w:p>
      <w:pPr>
        <w:pStyle w:val="Heading2"/>
      </w:pPr>
      <w:r>
        <w:t>第一阶段包含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中心服务 Web 登录和服务器管理。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Linux Agent 注册 心跳 指标采集和安全上报。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CPU 内存 网络 磁盘负载和运行时间。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多精度历史数据与时间范围查询。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磁盘容量阈值 增长速度和基础历史基线异常。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限制路径与深度的目录扫描。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目录树 快照比较 增长贡献排序和可选 Treemap。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Agent 撤销 扫描审计和基础告警事件。</w:t>
      </w:r>
    </w:p>
    <w:p>
      <w:pPr>
        <w:pStyle w:val="Heading2"/>
      </w:pPr>
      <w:r>
        <w:t>第一阶段不包含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Windows macOS 和移动端 Agent。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原生桌面客户端。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日志全文采集和检索。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远程终端 远程命令和文件删除。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Kubernetes 大规模集群和跨中心高可用。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复杂机器学习或依赖外部大模型的诊断。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商业计费 组织和复杂多租户权限。</w:t>
      </w:r>
    </w:p>
    <w:p>
      <w:pPr>
        <w:pStyle w:val="Heading1"/>
      </w:pPr>
      <w:r>
        <w:t>总体结构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17"/>
        <w:gridCol w:w="2317"/>
        <w:gridCol w:w="2317"/>
        <w:gridCol w:w="2317"/>
      </w:tblGrid>
      <w:tr>
        <w:trPr>
          <w:tblHeader w:val="true"/>
          <w:cantSplit/>
        </w:trPr>
        <w:tc>
          <w:tcPr>
            <w:tcW w:type="dxa" w:w="136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268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948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主要处理</w:t>
            </w:r>
          </w:p>
        </w:tc>
        <w:tc>
          <w:tcPr>
            <w:tcW w:type="dxa" w:w="2154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Agent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Linux 系统接口和扫描任务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指标采集 目录遍历 资源限制 断线缓存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主机信息 指标 扫描结果 心跳</w:t>
            </w:r>
          </w:p>
        </w:tc>
      </w:tr>
      <w:tr>
        <w:trPr>
          <w:cantSplit/>
        </w:trPr>
        <w:tc>
          <w:tcPr>
            <w:tcW w:type="dxa" w:w="136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中心服务</w:t>
            </w:r>
          </w:p>
        </w:tc>
        <w:tc>
          <w:tcPr>
            <w:tcW w:type="dxa" w:w="226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Agent 数据和用户操作</w:t>
            </w:r>
          </w:p>
        </w:tc>
        <w:tc>
          <w:tcPr>
            <w:tcW w:type="dxa" w:w="294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认证 存储 聚合 异常检测 快照比较</w:t>
            </w:r>
          </w:p>
        </w:tc>
        <w:tc>
          <w:tcPr>
            <w:tcW w:type="dxa" w:w="215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接口 事件 扫描任务 归因结果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Web 前端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中心服务接口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状态展示 查询和交互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总览 图表 目录树 Treemap 设置页面</w:t>
            </w:r>
          </w:p>
        </w:tc>
      </w:tr>
      <w:tr>
        <w:trPr>
          <w:cantSplit/>
        </w:trPr>
        <w:tc>
          <w:tcPr>
            <w:tcW w:type="dxa" w:w="136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SQLite</w:t>
            </w:r>
          </w:p>
        </w:tc>
        <w:tc>
          <w:tcPr>
            <w:tcW w:type="dxa" w:w="226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配置 指标 事件 快照</w:t>
            </w:r>
          </w:p>
        </w:tc>
        <w:tc>
          <w:tcPr>
            <w:tcW w:type="dxa" w:w="294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事务 索引 清理和聚合</w:t>
            </w:r>
          </w:p>
        </w:tc>
        <w:tc>
          <w:tcPr>
            <w:tcW w:type="dxa" w:w="215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可查询的本地持久数据</w:t>
            </w:r>
          </w:p>
        </w:tc>
      </w:tr>
    </w:tbl>
    <w:p>
      <w:pPr>
        <w:spacing w:after="20"/>
      </w:pPr>
    </w:p>
    <w:p>
      <w:pPr>
        <w:pStyle w:val="Heading1"/>
      </w:pPr>
      <w:r>
        <w:t>主要用户流程</w:t>
      </w:r>
    </w:p>
    <w:p>
      <w:pPr>
        <w:pStyle w:val="Heading2"/>
      </w:pPr>
      <w:r>
        <w:t>服务器接入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1.  管理员登录中心端并创建服务器记录。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2.  系统生成一次性注册码和安装参数。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3.  管理员在目标服务器安装并启动 Agent。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4.  Agent 使用注册码完成注册，获得独立设备凭据。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5.  中心端收到心跳后将服务器标记为在线并开始接收指标。</w:t>
      </w:r>
    </w:p>
    <w:p>
      <w:pPr>
        <w:pStyle w:val="Heading2"/>
      </w:pPr>
      <w:r>
        <w:t>查看资源状态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1.  用户进入总览页面查看全部服务器在线状态和资源摘要。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2.  用户选择一台服务器进入详情页。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3.  用户查看当前指标，并切换历史时间范围。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4.  系统根据选定范围返回对应精度的数据。</w:t>
      </w:r>
    </w:p>
    <w:p>
      <w:pPr>
        <w:pStyle w:val="Heading2"/>
      </w:pPr>
      <w:r>
        <w:t>磁盘异常定位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1.  系统检测到磁盘使用率或增长速度达到规则条件。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2.  系统创建异常事件，并建议启动目录扫描；管理员可配置部分规则自动扫描。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3.  Agent 按路径白名单和资源限制执行扫描。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4.  中心端保存新快照并与基准快照比较。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5.  页面显示增长目录排名、目录树、扫描完整度和触发原因。</w:t>
      </w:r>
    </w:p>
    <w:p>
      <w:pPr>
        <w:pStyle w:val="Heading1"/>
      </w:pPr>
      <w:r>
        <w:t>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17"/>
        <w:gridCol w:w="2317"/>
        <w:gridCol w:w="2317"/>
        <w:gridCol w:w="2317"/>
      </w:tblGrid>
      <w:tr>
        <w:trPr>
          <w:tblHeader w:val="true"/>
          <w:cantSplit/>
        </w:trPr>
        <w:tc>
          <w:tcPr>
            <w:tcW w:type="dxa" w:w="1134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7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4819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概要描述</w:t>
            </w:r>
          </w:p>
        </w:tc>
        <w:tc>
          <w:tcPr>
            <w:tcW w:type="dxa" w:w="119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01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用户登录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系统应提供管理员登录 退出和会话失效能力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02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服务器管理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管理员应能新增 重命名 分组 停用和撤销服务器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03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Agent 注册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Agent 应使用一次性注册码完成首次注册并获得独立设备凭据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04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在线状态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中心端应根据心跳显示在线 离线 最后上报时间和连接地址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05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系统信息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系统应展示主机名 发行版 版本 内核 架构 IP 和运行时间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06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实时指标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系统应展示 CPU 负载 内存 Swap 网络速率 磁盘容量和磁盘 I/O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07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历史查询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用户应能查询 1 小时 24 小时 7 天 30 天等时间范围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08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分级存储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中心端应按保留策略聚合旧指标并清理过期数据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09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异常规则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系统应支持磁盘容量阈值 增长量和增长速度规则，并保存触发依据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10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扫描任务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管理员应能选择服务器 路径 深度和限制参数并启动 取消扫描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11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扫描保护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Agent 应拒绝白名单外路径，避免跟随符号链接和跨越未允许挂载点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12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目录结果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系统应显示目录累计大小 占比 文件数 子目录数 状态和扫描时间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13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快照比较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系统应比较同一路径两次快照并计算增减量与增长贡献率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14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可视化定位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系统应提供可展开目录树；Treemap 作为高优先级增强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15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异常事件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用户应能查看事件时间 严重程度 规则 关联服务器和处理状态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16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审计记录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系统应记录登录 服务器注册 撤销 扫描创建和取消等敏感操作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17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通知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系统可通过 Webhook 或邮件发送重要异常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13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FR 18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数据导出</w:t>
            </w:r>
          </w:p>
        </w:tc>
        <w:tc>
          <w:tcPr>
            <w:tcW w:type="dxa" w:w="481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用户可导出资源或扫描结果</w:t>
            </w:r>
          </w:p>
        </w:tc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可选</w:t>
            </w:r>
          </w:p>
        </w:tc>
      </w:tr>
    </w:tbl>
    <w:p>
      <w:pPr>
        <w:spacing w:after="20"/>
      </w:pPr>
    </w:p>
    <w:p>
      <w:pPr>
        <w:pStyle w:val="Heading1"/>
      </w:pPr>
      <w:r>
        <w:t>监控指标范围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153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252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第一阶段指标</w:t>
            </w:r>
          </w:p>
        </w:tc>
        <w:tc>
          <w:tcPr>
            <w:tcW w:type="dxa" w:w="2948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显示要求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主机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主机名 发行版 系统版本 内核 架构 IP 启动时间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153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CPU</w:t>
            </w:r>
          </w:p>
        </w:tc>
        <w:tc>
          <w:tcPr>
            <w:tcW w:type="dxa" w:w="42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总体使用率 用户 系统 空闲 I/O wait 负载均值</w:t>
            </w:r>
          </w:p>
        </w:tc>
        <w:tc>
          <w:tcPr>
            <w:tcW w:type="dxa" w:w="294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当前值与历史趋势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内存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总量 已用 可用 缓存 Buffer Swap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容量 数值 百分比和历史趋势</w:t>
            </w:r>
          </w:p>
        </w:tc>
      </w:tr>
      <w:tr>
        <w:trPr>
          <w:cantSplit/>
        </w:trPr>
        <w:tc>
          <w:tcPr>
            <w:tcW w:type="dxa" w:w="153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网络</w:t>
            </w:r>
          </w:p>
        </w:tc>
        <w:tc>
          <w:tcPr>
            <w:tcW w:type="dxa" w:w="42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接口 接收发送速率 累计流量</w:t>
            </w:r>
          </w:p>
        </w:tc>
        <w:tc>
          <w:tcPr>
            <w:tcW w:type="dxa" w:w="294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速率曲线并区分主要接口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磁盘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分区总量 已用 可用 使用率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容量 数值 百分比和异常状态</w:t>
            </w:r>
          </w:p>
        </w:tc>
      </w:tr>
      <w:tr>
        <w:trPr>
          <w:cantSplit/>
        </w:trPr>
        <w:tc>
          <w:tcPr>
            <w:tcW w:type="dxa" w:w="153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磁盘 I/O</w:t>
            </w:r>
          </w:p>
        </w:tc>
        <w:tc>
          <w:tcPr>
            <w:tcW w:type="dxa" w:w="42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读取写入速率 可获得时的等待指标</w:t>
            </w:r>
          </w:p>
        </w:tc>
        <w:tc>
          <w:tcPr>
            <w:tcW w:type="dxa" w:w="294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当前值与历史趋势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SimSun" w:hAnsi="SimSun" w:eastAsia="SimSun"/>
          <w:sz w:val="21"/>
        </w:rPr>
        <w:t>内存页面必须明确区分 free 与 available。CPU 和网络速率需要通过两次累计计数差值计算，并处理 Agent 重启、计数器回绕和采样间隔变化。公网 IP 与本机网卡 IP 应分开标识。</w:t>
      </w:r>
    </w:p>
    <w:p>
      <w:pPr>
        <w:pStyle w:val="Heading1"/>
      </w:pPr>
      <w:r>
        <w:t>历史数据要求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17"/>
        <w:gridCol w:w="2317"/>
        <w:gridCol w:w="2317"/>
        <w:gridCol w:w="2317"/>
      </w:tblGrid>
      <w:tr>
        <w:trPr>
          <w:tblHeader w:val="true"/>
          <w:cantSplit/>
        </w:trPr>
        <w:tc>
          <w:tcPr>
            <w:tcW w:type="dxa" w:w="170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5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默认采样或聚合间隔</w:t>
            </w:r>
          </w:p>
        </w:tc>
        <w:tc>
          <w:tcPr>
            <w:tcW w:type="dxa" w:w="170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默认保留</w:t>
            </w:r>
          </w:p>
        </w:tc>
        <w:tc>
          <w:tcPr>
            <w:tcW w:type="dxa" w:w="2778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查询用途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实时层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10 秒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24 小时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观察短时波动和异常前后细节</w:t>
            </w:r>
          </w:p>
        </w:tc>
      </w:tr>
      <w:tr>
        <w:trPr>
          <w:cantSplit/>
        </w:trPr>
        <w:tc>
          <w:tcPr>
            <w:tcW w:type="dxa" w:w="170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分钟层</w:t>
            </w:r>
          </w:p>
        </w:tc>
        <w:tc>
          <w:tcPr>
            <w:tcW w:type="dxa" w:w="255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1 分钟</w:t>
            </w:r>
          </w:p>
        </w:tc>
        <w:tc>
          <w:tcPr>
            <w:tcW w:type="dxa" w:w="170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30 天</w:t>
            </w:r>
          </w:p>
        </w:tc>
        <w:tc>
          <w:tcPr>
            <w:tcW w:type="dxa" w:w="277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日 周和月趋势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小时层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1 小时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1 年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长期容量和负载变化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每个聚合点至少保存平均值 最大值 最小值和样本数。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缺失数据不得自动补成零，应显示为空缺。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查询范围越长，中心端应自动选择更低精度层级。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管理员应能调整保留期；系统应显示数据库当前体积。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数据清理失败应记录错误，不能静默无限增长。</w:t>
      </w:r>
    </w:p>
    <w:p>
      <w:pPr>
        <w:pStyle w:val="Heading1"/>
      </w:pPr>
      <w:r>
        <w:t>异常检测要求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1757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规则类型</w:t>
            </w:r>
          </w:p>
        </w:tc>
        <w:tc>
          <w:tcPr>
            <w:tcW w:type="dxa" w:w="272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252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容量阈值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磁盘使用率超过 80%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支持持续时间和恢复阈值，避免临界值反复触发</w:t>
            </w:r>
          </w:p>
        </w:tc>
      </w:tr>
      <w:tr>
        <w:trPr>
          <w:cantSplit/>
        </w:trPr>
        <w:tc>
          <w:tcPr>
            <w:tcW w:type="dxa" w:w="175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绝对增长</w:t>
            </w:r>
          </w:p>
        </w:tc>
        <w:tc>
          <w:tcPr>
            <w:tcW w:type="dxa" w:w="272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两小时增长超过 5 GB</w:t>
            </w:r>
          </w:p>
        </w:tc>
        <w:tc>
          <w:tcPr>
            <w:tcW w:type="dxa" w:w="42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支持按分区配置窗口与阈值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增长速度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每小时增长超过 2 GB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记录起止容量和采样完整度</w:t>
            </w:r>
          </w:p>
        </w:tc>
      </w:tr>
      <w:tr>
        <w:trPr>
          <w:cantSplit/>
        </w:trPr>
        <w:tc>
          <w:tcPr>
            <w:tcW w:type="dxa" w:w="175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历史基线</w:t>
            </w:r>
          </w:p>
        </w:tc>
        <w:tc>
          <w:tcPr>
            <w:tcW w:type="dxa" w:w="272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当前增量显著偏离近期中位数</w:t>
            </w:r>
          </w:p>
        </w:tc>
        <w:tc>
          <w:tcPr>
            <w:tcW w:type="dxa" w:w="42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第一版可使用滚动中位数和 MAD，不依赖机器学习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SimSun" w:hAnsi="SimSun" w:eastAsia="SimSun"/>
          <w:sz w:val="21"/>
        </w:rPr>
        <w:t>异常事件必须可解释，至少展示触发规则、比较窗口、实际值、阈值和数据完整度。自动扫描默认关闭，由管理员对指定服务器和路径开启，避免异常规则直接产生高成本任务。</w:t>
      </w:r>
    </w:p>
    <w:p>
      <w:pPr>
        <w:pStyle w:val="Heading1"/>
      </w:pPr>
      <w:r>
        <w:t>目录扫描要求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扫描任务必须指定服务器和根路径，根路径必须位于 Agent 配置的允许列表。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默认最大深度为 3，最大深度应可配置但设置合理上限。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每个目录默认仅返回最大的若干直接子项，其余合并为其他。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默认不跟随符号链接，不进入 proc sys dev run 等虚拟目录，不跨未允许挂载点。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扫描必须记录无法访问 路径消失 超时 取消和部分完成状态。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同一 Agent 默认只运行一个扫描任务。CPU 或 I/O 负载达到保护条件时暂停或降速。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用户展开未扫描目录时可创建分支扫描任务，不要求首次扫描整个文件系统。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结果应区分逻辑文件大小和实际占用空间，至少在文档中说明采用口径。</w:t>
      </w:r>
    </w:p>
    <w:p>
      <w:pPr>
        <w:pStyle w:val="Heading1"/>
      </w:pPr>
      <w:r>
        <w:t>快照比较与增长归因</w:t>
      </w:r>
    </w:p>
    <w:p>
      <w:pPr>
        <w:ind w:firstLine="420"/>
      </w:pPr>
      <w:r>
        <w:rPr>
          <w:rFonts w:ascii="SimSun" w:hAnsi="SimSun" w:eastAsia="SimSun"/>
          <w:sz w:val="21"/>
        </w:rPr>
        <w:t>系统应以服务器 文件系统 根路径和统计口径匹配可比较快照。比较结果按路径计算当前大小、基准大小、变化量和变化比例。增长贡献率的分母应使用本次扫描范围内所有正增长目录的净增长，并避免父目录与子目录重复累加。页面应区分直接增长和包含子目录后的累计增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35"/>
        <w:gridCol w:w="4635"/>
      </w:tblGrid>
      <w:tr>
        <w:trPr>
          <w:tblHeader w:val="true"/>
          <w:cantSplit/>
        </w:trPr>
        <w:tc>
          <w:tcPr>
            <w:tcW w:type="dxa" w:w="1928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6803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增长排名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按增量排序的目录列表，显示大小变化和贡献比例</w:t>
            </w:r>
          </w:p>
        </w:tc>
      </w:tr>
      <w:tr>
        <w:trPr>
          <w:cantSplit/>
        </w:trPr>
        <w:tc>
          <w:tcPr>
            <w:tcW w:type="dxa" w:w="192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差异目录树</w:t>
            </w:r>
          </w:p>
        </w:tc>
        <w:tc>
          <w:tcPr>
            <w:tcW w:type="dxa" w:w="6803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正增长 减少 无变化 新增 删除和未知状态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Treemap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以当前占用或本次增长为面积，可切换视角</w:t>
            </w:r>
          </w:p>
        </w:tc>
      </w:tr>
      <w:tr>
        <w:trPr>
          <w:cantSplit/>
        </w:trPr>
        <w:tc>
          <w:tcPr>
            <w:tcW w:type="dxa" w:w="192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解释摘要</w:t>
            </w:r>
          </w:p>
        </w:tc>
        <w:tc>
          <w:tcPr>
            <w:tcW w:type="dxa" w:w="6803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说明异常发生时间 主要增长目录 数据完整度和可能限制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证据链接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从异常事件跳转到对应服务器 分区 扫描任务和快照对比</w:t>
            </w:r>
          </w:p>
        </w:tc>
      </w:tr>
    </w:tbl>
    <w:p>
      <w:pPr>
        <w:spacing w:after="20"/>
      </w:pPr>
    </w:p>
    <w:p>
      <w:pPr>
        <w:pStyle w:val="Heading1"/>
      </w:pPr>
      <w:r>
        <w:t>页面概要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35"/>
        <w:gridCol w:w="4635"/>
      </w:tblGrid>
      <w:tr>
        <w:trPr>
          <w:tblHeader w:val="true"/>
          <w:cantSplit/>
        </w:trPr>
        <w:tc>
          <w:tcPr>
            <w:tcW w:type="dxa" w:w="2154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6576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登录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管理员账号 密码 错误提示和登录限速</w:t>
            </w:r>
          </w:p>
        </w:tc>
      </w:tr>
      <w:tr>
        <w:trPr>
          <w:cantSplit/>
        </w:trPr>
        <w:tc>
          <w:tcPr>
            <w:tcW w:type="dxa" w:w="215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服务器总览</w:t>
            </w:r>
          </w:p>
        </w:tc>
        <w:tc>
          <w:tcPr>
            <w:tcW w:type="dxa" w:w="65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在线状态 CPU 内存 磁盘 摘要异常和最后上报时间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服务器详情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基础信息 实时卡片 历史图表 磁盘分区和近期事件</w:t>
            </w:r>
          </w:p>
        </w:tc>
      </w:tr>
      <w:tr>
        <w:trPr>
          <w:cantSplit/>
        </w:trPr>
        <w:tc>
          <w:tcPr>
            <w:tcW w:type="dxa" w:w="215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磁盘分析</w:t>
            </w:r>
          </w:p>
        </w:tc>
        <w:tc>
          <w:tcPr>
            <w:tcW w:type="dxa" w:w="65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扫描任务 目录树 Treemap 快照选择 增长排名和完整度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异常事件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筛选 严重度 触发依据 关联服务器和处理状态</w:t>
            </w:r>
          </w:p>
        </w:tc>
      </w:tr>
      <w:tr>
        <w:trPr>
          <w:cantSplit/>
        </w:trPr>
        <w:tc>
          <w:tcPr>
            <w:tcW w:type="dxa" w:w="215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服务器设置</w:t>
            </w:r>
          </w:p>
        </w:tc>
        <w:tc>
          <w:tcPr>
            <w:tcW w:type="dxa" w:w="65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名称 分组 采集间隔 保留策略 扫描白名单和自动扫描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系统设置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账号 TLS 通知 数据库状态 审计和备份</w:t>
            </w:r>
          </w:p>
        </w:tc>
      </w:tr>
    </w:tbl>
    <w:p>
      <w:pPr>
        <w:spacing w:after="20"/>
      </w:pPr>
    </w:p>
    <w:p>
      <w:pPr>
        <w:pStyle w:val="Heading1"/>
      </w:pPr>
      <w:r>
        <w:t>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119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7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953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01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资源占用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Agent 空闲 CPU 平均值目标低于 1%，常驻内存目标不高于 40 MB；最终以目标服务器实测为准</w:t>
            </w:r>
          </w:p>
        </w:tc>
      </w:tr>
      <w:tr>
        <w:trPr>
          <w:cantSplit/>
        </w:trPr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02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采集稳定性</w:t>
            </w:r>
          </w:p>
        </w:tc>
        <w:tc>
          <w:tcPr>
            <w:tcW w:type="dxa" w:w="5953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短时网络中断后自动重连；缓存应有容量和时长上限，禁止无限堆积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03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响应时间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10 台服务器规模下，总览常规查询目标在 2 秒内完成，历史查询目标在 3 秒内完成</w:t>
            </w:r>
          </w:p>
        </w:tc>
      </w:tr>
      <w:tr>
        <w:trPr>
          <w:cantSplit/>
        </w:trPr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04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兼容性</w:t>
            </w:r>
          </w:p>
        </w:tc>
        <w:tc>
          <w:tcPr>
            <w:tcW w:type="dxa" w:w="5953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MVP 支持 Linux amd64，优先验证 Ubuntu 和 Debian；arm64 为高优先级增强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05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安全传输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生产部署必须使用 HTTPS 或 WSS；设备凭据不得出现在普通日志中</w:t>
            </w:r>
          </w:p>
        </w:tc>
      </w:tr>
      <w:tr>
        <w:trPr>
          <w:cantSplit/>
        </w:trPr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06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最小权限</w:t>
            </w:r>
          </w:p>
        </w:tc>
        <w:tc>
          <w:tcPr>
            <w:tcW w:type="dxa" w:w="5953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Agent 使用专用系统用户；扫描默认只读；不提供任意命令执行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07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可观测性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中心端与 Agent 应提供结构化日志 健康状态和关键错误原因</w:t>
            </w:r>
          </w:p>
        </w:tc>
      </w:tr>
      <w:tr>
        <w:trPr>
          <w:cantSplit/>
        </w:trPr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08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数据可靠性</w:t>
            </w:r>
          </w:p>
        </w:tc>
        <w:tc>
          <w:tcPr>
            <w:tcW w:type="dxa" w:w="5953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指标写入应支持去重或幂等；缺失和部分扫描数据必须显式标记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09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易安装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目标是通过单条安装命令或明确的少步骤流程完成 Agent 注册</w:t>
            </w:r>
          </w:p>
        </w:tc>
      </w:tr>
      <w:tr>
        <w:trPr>
          <w:cantSplit/>
        </w:trPr>
        <w:tc>
          <w:tcPr>
            <w:tcW w:type="dxa" w:w="119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NFR 10</w:t>
            </w:r>
          </w:p>
        </w:tc>
        <w:tc>
          <w:tcPr>
            <w:tcW w:type="dxa" w:w="1587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可维护性</w:t>
            </w:r>
          </w:p>
        </w:tc>
        <w:tc>
          <w:tcPr>
            <w:tcW w:type="dxa" w:w="5953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采集 异常 扫描 存储和前端模块应保持清晰边界，规则参数可配置</w:t>
            </w:r>
          </w:p>
        </w:tc>
      </w:tr>
    </w:tbl>
    <w:p>
      <w:pPr>
        <w:spacing w:after="20"/>
      </w:pPr>
    </w:p>
    <w:p>
      <w:pPr>
        <w:pStyle w:val="Heading1"/>
      </w:pPr>
      <w:r>
        <w:t>安全需求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注册码只能使用一次并设置有效期。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每台 Agent 使用独立设备凭据，中心端可以单独撤销。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中心端保存凭据时使用安全哈希或不可逆验证形式；敏感配置限制文件权限。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所有扫描请求在中心端做权限检查，在 Agent 端再次验证路径白名单。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登录接口需要限速，会话 Cookie 使用 HttpOnly Secure 和合理 SameSite 设置。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审计日志记录操作人 时间 对象 结果和来源地址，但不记录明文密钥。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Agent 默认不以 root 身份运行；确有需要的系统访问应使用最小能力或只读权限。</w:t>
      </w:r>
    </w:p>
    <w:p>
      <w:pPr>
        <w:pStyle w:val="Heading1"/>
      </w:pPr>
      <w:r>
        <w:t>数据与隐私要求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默认上传目录聚合信息，不上传文件内容。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管理员可配置是否允许上传文件名；MVP 可以仅支持目录级结果。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扫描结果和历史指标均保存在用户自托管的中心端。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删除服务器时应明确提示保留还是删除历史数据。</w:t>
      </w:r>
    </w:p>
    <w:p>
      <w:pPr>
        <w:pStyle w:val="ListBullet"/>
        <w:spacing w:after="60"/>
        <w:ind w:left="425" w:hanging="198"/>
      </w:pPr>
      <w:r>
        <w:rPr>
          <w:rFonts w:ascii="SimSun" w:hAnsi="SimSun" w:eastAsia="SimSun"/>
          <w:sz w:val="20"/>
        </w:rPr>
        <w:t>备份应包含数据库和必要配置，但不在导出日志中泄露设备密钥。</w:t>
      </w:r>
    </w:p>
    <w:p>
      <w:pPr>
        <w:pStyle w:val="Heading1"/>
      </w:pPr>
      <w:r>
        <w:t>MVP 验收条件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1.  在 Ubuntu 和 Debian 测试环境中安装 Agent，并同时接入至少 3 台服务器。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2.  总览正确显示在线状态，详情页显示系统信息和六类核心资源数据。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3.  系统能够查询不同时间范围，并自动使用对应精度的历史数据。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4.  构造磁盘增长场景后，系统创建异常事件并显示完整触发依据。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5.  完成两次相同范围的目录扫描，正确输出主要增长目录和快照差异。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6.  无权限目录 符号链接 跨挂载点 取消和超时均有明确状态。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7.  撤销 Agent 凭据后，该 Agent 的后续上报被拒绝。</w:t>
      </w:r>
    </w:p>
    <w:p>
      <w:pPr>
        <w:spacing w:after="60"/>
        <w:ind w:left="454" w:hanging="198"/>
      </w:pPr>
      <w:r>
        <w:rPr>
          <w:rFonts w:ascii="SimSun" w:hAnsi="SimSun" w:eastAsia="SimSun"/>
          <w:sz w:val="20"/>
        </w:rPr>
        <w:t>8.  完成 Agent 资源占用 扫描开销 数据库增长和异常定位准确性测试。</w:t>
      </w:r>
    </w:p>
    <w:p>
      <w:pPr>
        <w:pStyle w:val="Heading1"/>
      </w:pPr>
      <w:r>
        <w:t>待后续细化事项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90"/>
        <w:gridCol w:w="3090"/>
        <w:gridCol w:w="3090"/>
      </w:tblGrid>
      <w:tr>
        <w:trPr>
          <w:tblHeader w:val="true"/>
          <w:cantSplit/>
        </w:trPr>
        <w:tc>
          <w:tcPr>
            <w:tcW w:type="dxa" w:w="187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989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需要确定的内容</w:t>
            </w:r>
          </w:p>
        </w:tc>
        <w:tc>
          <w:tcPr>
            <w:tcW w:type="dxa" w:w="1871"/>
            <w:shd w:fill="2339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技术栈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Agent 和中心服务语言 前端框架 通信协议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技术设计阶段</w:t>
            </w:r>
          </w:p>
        </w:tc>
      </w:tr>
      <w:tr>
        <w:trPr>
          <w:cantSplit/>
        </w:trPr>
        <w:tc>
          <w:tcPr>
            <w:tcW w:type="dxa" w:w="187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指标口径</w:t>
            </w:r>
          </w:p>
        </w:tc>
        <w:tc>
          <w:tcPr>
            <w:tcW w:type="dxa" w:w="498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CPU 内存 网络 磁盘 I/O 的精确计算方式</w:t>
            </w:r>
          </w:p>
        </w:tc>
        <w:tc>
          <w:tcPr>
            <w:tcW w:type="dxa" w:w="187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Agent 原型前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扫描口径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逻辑大小 实际占用 硬链接和稀疏文件处理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扫描模块前</w:t>
            </w:r>
          </w:p>
        </w:tc>
      </w:tr>
      <w:tr>
        <w:trPr>
          <w:cantSplit/>
        </w:trPr>
        <w:tc>
          <w:tcPr>
            <w:tcW w:type="dxa" w:w="187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异常参数</w:t>
            </w:r>
          </w:p>
        </w:tc>
        <w:tc>
          <w:tcPr>
            <w:tcW w:type="dxa" w:w="498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默认阈值 窗口 静默期和恢复条件</w:t>
            </w:r>
          </w:p>
        </w:tc>
        <w:tc>
          <w:tcPr>
            <w:tcW w:type="dxa" w:w="187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异常模块前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页面交互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总览 详情 Treemap 和快照比较原型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前端开发前</w:t>
            </w:r>
          </w:p>
        </w:tc>
      </w:tr>
      <w:tr>
        <w:trPr>
          <w:cantSplit/>
        </w:trPr>
        <w:tc>
          <w:tcPr>
            <w:tcW w:type="dxa" w:w="187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部署模式</w:t>
            </w:r>
          </w:p>
        </w:tc>
        <w:tc>
          <w:tcPr>
            <w:tcW w:type="dxa" w:w="498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SimSun" w:hAnsi="SimSun" w:eastAsia="SimSun"/>
                <w:sz w:val="18"/>
              </w:rPr>
              <w:t>中心端二进制 Docker 反向代理和证书方案</w:t>
            </w:r>
          </w:p>
        </w:tc>
        <w:tc>
          <w:tcPr>
            <w:tcW w:type="dxa" w:w="1871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imSun" w:hAnsi="SimSun" w:eastAsia="SimSun"/>
                <w:sz w:val="18"/>
              </w:rPr>
              <w:t>集成测试前</w:t>
            </w:r>
          </w:p>
        </w:tc>
      </w:tr>
    </w:tbl>
    <w:p>
      <w:pPr>
        <w:spacing w:after="20"/>
      </w:pPr>
    </w:p>
    <w:p>
      <w:pPr>
        <w:pStyle w:val="Heading1"/>
      </w:pPr>
      <w:r>
        <w:t>需求基线结论</w:t>
      </w:r>
    </w:p>
    <w:p>
      <w:pPr>
        <w:ind w:firstLine="420"/>
      </w:pPr>
      <w:r>
        <w:rPr>
          <w:rFonts w:ascii="SimSun" w:hAnsi="SimSun" w:eastAsia="SimSun"/>
          <w:sz w:val="21"/>
        </w:rPr>
        <w:t>第一阶段需求已经形成完整闭环：Agent 持续上报资源指标，中心端保存和分析历史数据，磁盘异常触发受控扫描，快照比较定位增长目录，Web 页面向用户展示证据和结果。后续详细需求应优先细化指标口径、扫描数据结构、异常规则和页面原型，不应在核心闭环完成前扩展远程运维、跨平台或复杂智能诊断。</w:t>
      </w:r>
    </w:p>
    <w:sectPr w:rsidR="00FC693F" w:rsidRPr="0006063C" w:rsidSect="00034616">
      <w:footerReference w:type="default" r:id="rId9"/>
      <w:pgSz w:w="11906" w:h="16838"/>
      <w:pgMar w:top="1276" w:right="1247" w:bottom="1134" w:left="138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80"/>
    </w:pPr>
    <w:rPr>
      <w:rFonts w:ascii="Microsoft YaHei" w:hAnsi="Microsoft YaHei" w:eastAsia="Microsoft YaHe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SeeSize 概要需求文档</dc:title>
  <dc:subject>第一阶段产品范围 功能需求 非功能需求和验收边界</dc:subject>
  <dc:creator>SeeSize 项目组</dc:creator>
  <cp:keywords>服务器监控 磁盘分析 Agent 异常检测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