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1BD" w:rsidRDefault="005311BD" w:rsidP="005311BD">
      <w:pPr>
        <w:tabs>
          <w:tab w:val="right" w:leader="middleDot" w:pos="9120"/>
        </w:tabs>
        <w:outlineLvl w:val="1"/>
        <w:rPr>
          <w:rFonts w:ascii="宋体" w:hAnsi="宋体"/>
          <w:b/>
          <w:kern w:val="72"/>
          <w:sz w:val="28"/>
          <w:szCs w:val="28"/>
        </w:rPr>
      </w:pPr>
      <w:bookmarkStart w:id="0" w:name="_Toc18383"/>
      <w:bookmarkStart w:id="1" w:name="_Toc16772409"/>
      <w:bookmarkStart w:id="2" w:name="_Toc25879"/>
      <w:bookmarkStart w:id="3" w:name="_Toc27389"/>
      <w:bookmarkStart w:id="4" w:name="_Toc32597"/>
      <w:bookmarkStart w:id="5" w:name="_Toc29077"/>
      <w:bookmarkStart w:id="6" w:name="_Toc14022"/>
      <w:bookmarkStart w:id="7" w:name="_Toc5758"/>
      <w:bookmarkStart w:id="8" w:name="_Toc31357"/>
      <w:r>
        <w:rPr>
          <w:rFonts w:ascii="宋体" w:hAnsi="宋体" w:hint="eastAsia"/>
          <w:b/>
          <w:kern w:val="72"/>
          <w:sz w:val="28"/>
          <w:szCs w:val="28"/>
        </w:rPr>
        <w:t>3.7 物料管理系统</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1）上料皮带智能控制</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智能上料控制系统根据各工位料仓料位信号及上级L2系统任务要求，结合各工位生产情况，智能计算配料供料计划，从原料进场编排指挥到各原料上料数量及先后顺序均由系统自动编排，同时兼顾人员手工干预，所有计划将以滚屏方式在大屏上显示，同时上料控制按计划执行。系统最终要满足无人化进料管理和上料控制要求以及保证各工位物料需求，同时具备在多种模式下（单、双皮带）的运转。</w:t>
      </w:r>
    </w:p>
    <w:p w:rsidR="00D01516" w:rsidRPr="00D01516" w:rsidRDefault="00D01516" w:rsidP="00D01516">
      <w:pPr>
        <w:pStyle w:val="2"/>
        <w:ind w:firstLine="560"/>
        <w:rPr>
          <w:color w:val="FF0000"/>
        </w:rPr>
      </w:pPr>
      <w:r>
        <w:rPr>
          <w:rFonts w:hint="eastAsia"/>
          <w:color w:val="FF0000"/>
        </w:rPr>
        <w:t>A</w:t>
      </w:r>
      <w:r>
        <w:rPr>
          <w:rFonts w:hint="eastAsia"/>
          <w:color w:val="FF0000"/>
        </w:rPr>
        <w:t>、</w:t>
      </w:r>
      <w:r w:rsidRPr="00D01516">
        <w:rPr>
          <w:rFonts w:hint="eastAsia"/>
          <w:color w:val="FF0000"/>
        </w:rPr>
        <w:t>(</w:t>
      </w:r>
      <w:r w:rsidRPr="00D01516">
        <w:rPr>
          <w:rFonts w:hint="eastAsia"/>
          <w:color w:val="FF0000"/>
        </w:rPr>
        <w:t>从</w:t>
      </w:r>
      <w:r w:rsidRPr="00D01516">
        <w:rPr>
          <w:rFonts w:hint="eastAsia"/>
          <w:color w:val="FF0000"/>
        </w:rPr>
        <w:t>L2</w:t>
      </w:r>
      <w:r w:rsidRPr="00D01516">
        <w:rPr>
          <w:rFonts w:hint="eastAsia"/>
          <w:color w:val="FF0000"/>
        </w:rPr>
        <w:t>读取系统任务，结合下级传感器数据，并将目前工作人员的操作思想编写到程序中，尽量自动处理各种信号，减少人员操作，在屏幕上画出图形，图表，并可以出相应的明细表以及汇总表</w:t>
      </w:r>
      <w:r w:rsidRPr="00D01516">
        <w:rPr>
          <w:rFonts w:hint="eastAsia"/>
          <w:color w:val="FF0000"/>
        </w:rPr>
        <w:t>)</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储运调度：建立物料调度中心，对来料及上料的运转数据以及料仓装料类型以及合金仓库物料配送等进行集中调度控制，操作人员在调度中心实现全过程管理。</w:t>
      </w:r>
    </w:p>
    <w:p w:rsidR="00D01516" w:rsidRPr="00D01516" w:rsidRDefault="00D01516" w:rsidP="00D01516">
      <w:pPr>
        <w:pStyle w:val="2"/>
        <w:ind w:firstLine="560"/>
        <w:rPr>
          <w:color w:val="FF0000"/>
        </w:rPr>
      </w:pPr>
      <w:r>
        <w:rPr>
          <w:rFonts w:hint="eastAsia"/>
          <w:color w:val="FF0000"/>
        </w:rPr>
        <w:t>B</w:t>
      </w:r>
      <w:r>
        <w:rPr>
          <w:rFonts w:hint="eastAsia"/>
          <w:color w:val="FF0000"/>
        </w:rPr>
        <w:t>、</w:t>
      </w:r>
      <w:r w:rsidRPr="00D01516">
        <w:rPr>
          <w:rFonts w:hint="eastAsia"/>
          <w:color w:val="FF0000"/>
        </w:rPr>
        <w:t>（这段其实就是把数据库中的数据根据甲方需求出几张报表）</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物料计划：在接收到L2系统生产计划时由工艺工程师在系统上设定单炉物料需求清单及需求量（或由相应工位给定）。系统结合生产计划统计当班的总需求量，结合现有高位料仓及地下料仓物料余量，按时间节点、先后顺序单次或分批次以报表形式形成物料供给计划。</w:t>
      </w:r>
    </w:p>
    <w:p w:rsidR="00D01516" w:rsidRPr="00E64769" w:rsidRDefault="00E64769" w:rsidP="00D01516">
      <w:pPr>
        <w:pStyle w:val="2"/>
        <w:ind w:firstLine="560"/>
        <w:rPr>
          <w:color w:val="FF0000"/>
        </w:rPr>
      </w:pPr>
      <w:r>
        <w:rPr>
          <w:rFonts w:hint="eastAsia"/>
          <w:color w:val="FF0000"/>
        </w:rPr>
        <w:t>C</w:t>
      </w:r>
      <w:r>
        <w:rPr>
          <w:rFonts w:hint="eastAsia"/>
          <w:color w:val="FF0000"/>
        </w:rPr>
        <w:t>、</w:t>
      </w:r>
      <w:r w:rsidR="00D01516" w:rsidRPr="00E64769">
        <w:rPr>
          <w:rFonts w:hint="eastAsia"/>
          <w:color w:val="FF0000"/>
        </w:rPr>
        <w:t>（</w:t>
      </w:r>
      <w:r w:rsidRPr="00E64769">
        <w:rPr>
          <w:rFonts w:hint="eastAsia"/>
          <w:color w:val="FF0000"/>
        </w:rPr>
        <w:t>这段其实就是</w:t>
      </w:r>
      <w:r w:rsidRPr="00E64769">
        <w:rPr>
          <w:rFonts w:hint="eastAsia"/>
          <w:color w:val="FF0000"/>
        </w:rPr>
        <w:t>A</w:t>
      </w:r>
      <w:r w:rsidRPr="00E64769">
        <w:rPr>
          <w:rFonts w:hint="eastAsia"/>
          <w:color w:val="FF0000"/>
        </w:rPr>
        <w:t>的细化</w:t>
      </w:r>
      <w:r>
        <w:rPr>
          <w:rFonts w:hint="eastAsia"/>
          <w:color w:val="FF0000"/>
        </w:rPr>
        <w:t>，也是出几张报表</w:t>
      </w:r>
      <w:r w:rsidR="00D01516" w:rsidRPr="00E64769">
        <w:rPr>
          <w:rFonts w:hint="eastAsia"/>
          <w:color w:val="FF0000"/>
        </w:rPr>
        <w:t>）</w:t>
      </w:r>
    </w:p>
    <w:p w:rsidR="005311BD" w:rsidRDefault="005311BD" w:rsidP="005311BD">
      <w:pPr>
        <w:pStyle w:val="2"/>
        <w:ind w:leftChars="0" w:left="0" w:firstLine="560"/>
        <w:rPr>
          <w:rFonts w:ascii="宋体" w:hAnsi="宋体" w:hint="eastAsia"/>
          <w:bCs/>
          <w:kern w:val="72"/>
          <w:szCs w:val="28"/>
        </w:rPr>
      </w:pPr>
      <w:r>
        <w:rPr>
          <w:rFonts w:hint="eastAsia"/>
        </w:rPr>
        <w:lastRenderedPageBreak/>
        <w:t>物料运转：结合</w:t>
      </w:r>
      <w:r>
        <w:rPr>
          <w:rFonts w:ascii="宋体" w:hAnsi="宋体" w:hint="eastAsia"/>
          <w:bCs/>
          <w:kern w:val="72"/>
          <w:szCs w:val="28"/>
        </w:rPr>
        <w:t>物料供给计划L1系统按照既定的时间节点和计划量对各工位的高位料仓和地下料仓进行物料补给。当L2系统或人工刷新或调整计划时系统重新计算并制定物料补给计划，L1系统按照新计划执行。同时系统具备当出现异常或临时调整时，结合人工干预后自动计算重新调整运转方案。</w:t>
      </w:r>
    </w:p>
    <w:p w:rsidR="00E64769" w:rsidRPr="00E64769" w:rsidRDefault="00E64769" w:rsidP="005311BD">
      <w:pPr>
        <w:pStyle w:val="2"/>
        <w:ind w:leftChars="0" w:left="0" w:firstLine="560"/>
        <w:rPr>
          <w:rFonts w:ascii="宋体" w:hAnsi="宋体"/>
          <w:bCs/>
          <w:color w:val="FF0000"/>
          <w:kern w:val="72"/>
          <w:szCs w:val="28"/>
        </w:rPr>
      </w:pPr>
      <w:r>
        <w:rPr>
          <w:rFonts w:ascii="宋体" w:hAnsi="宋体" w:hint="eastAsia"/>
          <w:bCs/>
          <w:color w:val="FF0000"/>
          <w:kern w:val="72"/>
          <w:szCs w:val="28"/>
        </w:rPr>
        <w:t>D、</w:t>
      </w:r>
      <w:r w:rsidRPr="00E64769">
        <w:rPr>
          <w:rFonts w:ascii="宋体" w:hAnsi="宋体" w:hint="eastAsia"/>
          <w:bCs/>
          <w:color w:val="FF0000"/>
          <w:kern w:val="72"/>
          <w:szCs w:val="28"/>
        </w:rPr>
        <w:t>（还是把当前工作人员的管理思路变成代码，尽量自动编排计划以及查询出各种报表，同时将新的数据上传L2）</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2）合金仓库物料管理</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 xml:space="preserve"> 依据合金仓库物料存储、发配管理原则，从汽车运货进库开始到货物发送分配，建立一套物料管理系统。物料进库采用计划制，由系统提出需求，配送按计划执行。库区物料分类堆放系统实时累算余料，物料堆卸按系统要求堆卸。地下料仓物料装载根据系统要求由汽车或装载车供料。</w:t>
      </w:r>
    </w:p>
    <w:p w:rsidR="00E64769" w:rsidRPr="00E64769" w:rsidRDefault="00E64769" w:rsidP="00E64769">
      <w:pPr>
        <w:pStyle w:val="2"/>
        <w:ind w:firstLine="560"/>
        <w:rPr>
          <w:color w:val="FF0000"/>
        </w:rPr>
      </w:pPr>
      <w:r>
        <w:rPr>
          <w:rFonts w:hint="eastAsia"/>
          <w:color w:val="FF0000"/>
        </w:rPr>
        <w:t>E</w:t>
      </w:r>
      <w:r>
        <w:rPr>
          <w:rFonts w:hint="eastAsia"/>
          <w:color w:val="FF0000"/>
        </w:rPr>
        <w:t>、</w:t>
      </w:r>
      <w:r w:rsidRPr="00E64769">
        <w:rPr>
          <w:rFonts w:hint="eastAsia"/>
          <w:color w:val="FF0000"/>
        </w:rPr>
        <w:t>(</w:t>
      </w:r>
      <w:r w:rsidRPr="00E64769">
        <w:rPr>
          <w:rFonts w:ascii="宋体" w:hAnsi="宋体" w:hint="eastAsia"/>
          <w:bCs/>
          <w:color w:val="FF0000"/>
          <w:kern w:val="72"/>
          <w:szCs w:val="28"/>
        </w:rPr>
        <w:t>物料存储、发配管理原则复杂程度？</w:t>
      </w:r>
      <w:r w:rsidRPr="00E64769">
        <w:rPr>
          <w:rFonts w:hint="eastAsia"/>
          <w:color w:val="FF0000"/>
        </w:rPr>
        <w:t>)</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物料需求计划管理：根据生产计划及上料需求制定当天物料派送单，运输车队根据派送计划按指定要求发送货物经司磅后进入合金仓库。</w:t>
      </w:r>
    </w:p>
    <w:p w:rsidR="005311BD" w:rsidRDefault="005311BD" w:rsidP="005311BD">
      <w:pPr>
        <w:pStyle w:val="2"/>
        <w:ind w:leftChars="0" w:left="0" w:firstLineChars="0" w:firstLine="560"/>
        <w:rPr>
          <w:rFonts w:ascii="宋体" w:hAnsi="宋体" w:hint="eastAsia"/>
          <w:bCs/>
          <w:kern w:val="72"/>
          <w:szCs w:val="28"/>
        </w:rPr>
      </w:pPr>
      <w:r>
        <w:rPr>
          <w:rFonts w:ascii="宋体" w:hAnsi="宋体" w:hint="eastAsia"/>
          <w:bCs/>
          <w:kern w:val="72"/>
          <w:szCs w:val="28"/>
        </w:rPr>
        <w:t>合金仓库物料入库管理：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rsidR="00E64769" w:rsidRPr="00E64769" w:rsidRDefault="00E64769" w:rsidP="005311BD">
      <w:pPr>
        <w:pStyle w:val="2"/>
        <w:ind w:leftChars="0" w:left="0" w:firstLineChars="0" w:firstLine="560"/>
        <w:rPr>
          <w:rFonts w:ascii="宋体" w:hAnsi="宋体"/>
          <w:bCs/>
          <w:color w:val="FF0000"/>
          <w:kern w:val="72"/>
          <w:szCs w:val="28"/>
        </w:rPr>
      </w:pPr>
      <w:r>
        <w:rPr>
          <w:rFonts w:ascii="宋体" w:hAnsi="宋体" w:hint="eastAsia"/>
          <w:bCs/>
          <w:color w:val="FF0000"/>
          <w:kern w:val="72"/>
          <w:szCs w:val="28"/>
        </w:rPr>
        <w:t>F、</w:t>
      </w:r>
      <w:r w:rsidRPr="00E64769">
        <w:rPr>
          <w:rFonts w:ascii="宋体" w:hAnsi="宋体" w:hint="eastAsia"/>
          <w:bCs/>
          <w:color w:val="FF0000"/>
          <w:kern w:val="72"/>
          <w:szCs w:val="28"/>
        </w:rPr>
        <w:t>（地磅目前有系统，货物种类、重量、车牌信息可通过接口</w:t>
      </w:r>
      <w:r w:rsidRPr="00E64769">
        <w:rPr>
          <w:rFonts w:ascii="宋体" w:hAnsi="宋体" w:hint="eastAsia"/>
          <w:bCs/>
          <w:color w:val="FF0000"/>
          <w:kern w:val="72"/>
          <w:szCs w:val="28"/>
        </w:rPr>
        <w:lastRenderedPageBreak/>
        <w:t>读取？</w:t>
      </w:r>
      <w:r>
        <w:rPr>
          <w:rFonts w:ascii="宋体" w:hAnsi="宋体" w:hint="eastAsia"/>
          <w:bCs/>
          <w:color w:val="FF0000"/>
          <w:kern w:val="72"/>
          <w:szCs w:val="28"/>
        </w:rPr>
        <w:t>如果只是地磅自带系统，应该只有重量和车牌，品种信息时没有的</w:t>
      </w:r>
      <w:r w:rsidRPr="00E64769">
        <w:rPr>
          <w:rFonts w:ascii="宋体" w:hAnsi="宋体" w:hint="eastAsia"/>
          <w:bCs/>
          <w:color w:val="FF0000"/>
          <w:kern w:val="72"/>
          <w:szCs w:val="28"/>
        </w:rPr>
        <w:t>）</w:t>
      </w:r>
    </w:p>
    <w:p w:rsidR="005311BD" w:rsidRDefault="005311BD" w:rsidP="005311BD">
      <w:pPr>
        <w:pStyle w:val="2"/>
        <w:ind w:leftChars="0" w:left="0" w:firstLineChars="0" w:firstLine="560"/>
        <w:rPr>
          <w:rFonts w:ascii="宋体" w:hAnsi="宋体" w:hint="eastAsia"/>
          <w:bCs/>
          <w:kern w:val="72"/>
          <w:szCs w:val="28"/>
        </w:rPr>
      </w:pPr>
      <w:r>
        <w:rPr>
          <w:rFonts w:ascii="宋体" w:hAnsi="宋体" w:hint="eastAsia"/>
          <w:bCs/>
          <w:kern w:val="72"/>
          <w:szCs w:val="28"/>
        </w:rPr>
        <w:t>内部物料出库倒运：部分生产物料由场内机车倒运时，系统根据需求向场内机车发布信息，司机人员根据倒运信息完成场内物资（地下料仓、合金仓库料槽等）的倒运并输送到指定高位料仓。</w:t>
      </w:r>
    </w:p>
    <w:p w:rsidR="005311BD" w:rsidRDefault="005311BD" w:rsidP="005311BD">
      <w:pPr>
        <w:pStyle w:val="2"/>
        <w:ind w:leftChars="0" w:left="0" w:firstLineChars="0" w:firstLine="560"/>
        <w:rPr>
          <w:rFonts w:ascii="宋体" w:hAnsi="宋体" w:hint="eastAsia"/>
          <w:bCs/>
          <w:kern w:val="72"/>
          <w:szCs w:val="28"/>
        </w:rPr>
      </w:pPr>
      <w:r>
        <w:rPr>
          <w:rFonts w:ascii="宋体" w:hAnsi="宋体" w:hint="eastAsia"/>
          <w:bCs/>
          <w:kern w:val="72"/>
          <w:szCs w:val="28"/>
        </w:rPr>
        <w:t>物质装卸确认：在每个合金仓库料槽和地下料仓上设置监视识别系统，当运输车辆入场装卸时监控系统实时跟踪车辆以及车牌号是否按照指定要求进行装卸，同时在管控画面上进行3D演示，当车辆信息与卸货地点不符时系统发布警报告知司机人员。</w:t>
      </w:r>
    </w:p>
    <w:p w:rsidR="00E64769" w:rsidRPr="00E64769" w:rsidRDefault="00104999" w:rsidP="005311BD">
      <w:pPr>
        <w:pStyle w:val="2"/>
        <w:ind w:leftChars="0" w:left="0" w:firstLineChars="0" w:firstLine="560"/>
        <w:rPr>
          <w:rFonts w:ascii="宋体" w:hAnsi="宋体"/>
          <w:bCs/>
          <w:color w:val="FF0000"/>
          <w:kern w:val="72"/>
          <w:szCs w:val="28"/>
        </w:rPr>
      </w:pPr>
      <w:r>
        <w:rPr>
          <w:rFonts w:ascii="宋体" w:hAnsi="宋体" w:hint="eastAsia"/>
          <w:bCs/>
          <w:color w:val="FF0000"/>
          <w:kern w:val="72"/>
          <w:szCs w:val="28"/>
        </w:rPr>
        <w:t>G</w:t>
      </w:r>
      <w:r w:rsidR="00E64769">
        <w:rPr>
          <w:rFonts w:ascii="宋体" w:hAnsi="宋体" w:hint="eastAsia"/>
          <w:bCs/>
          <w:color w:val="FF0000"/>
          <w:kern w:val="72"/>
          <w:szCs w:val="28"/>
        </w:rPr>
        <w:t>、</w:t>
      </w:r>
      <w:r w:rsidR="00E64769" w:rsidRPr="00E64769">
        <w:rPr>
          <w:rFonts w:ascii="宋体" w:hAnsi="宋体" w:hint="eastAsia"/>
          <w:bCs/>
          <w:color w:val="FF0000"/>
          <w:kern w:val="72"/>
          <w:szCs w:val="28"/>
        </w:rPr>
        <w:t>（这个不考虑）</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内部机车调度管理：在每台内部运转车辆上设置移动式界面屏（车辆与界面屏在交接时先由调度系统发布交接要求，司机人员按照要求完成车辆类型、车牌号与移动界面屏数据交接并由调度中心完成交接确认）。内部物料运转时系统会按要求向指定车辆上的移动界面屏发布装卸信息，司机人员按照信息提示完成物料装卸。</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移动界面屏参数：</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尺寸：10寸</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续航：48小时/机车供电</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通讯：无线通讯</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网络覆盖：合金仓库周边30米内</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数量：5台</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定位（可选项）：具备定位功能精度5米，定位位置在3D模</w:t>
      </w:r>
      <w:r>
        <w:rPr>
          <w:rFonts w:ascii="宋体" w:hAnsi="宋体" w:hint="eastAsia"/>
          <w:bCs/>
          <w:kern w:val="72"/>
          <w:szCs w:val="28"/>
        </w:rPr>
        <w:lastRenderedPageBreak/>
        <w:t>型上体现。</w:t>
      </w:r>
    </w:p>
    <w:p w:rsidR="005311BD" w:rsidRDefault="005311BD" w:rsidP="005311BD">
      <w:pPr>
        <w:pStyle w:val="2"/>
        <w:ind w:leftChars="0" w:left="0" w:firstLineChars="0" w:firstLine="560"/>
        <w:rPr>
          <w:rFonts w:ascii="宋体" w:hAnsi="宋体" w:hint="eastAsia"/>
          <w:bCs/>
          <w:kern w:val="72"/>
          <w:szCs w:val="28"/>
        </w:rPr>
      </w:pPr>
      <w:r>
        <w:rPr>
          <w:rFonts w:ascii="宋体" w:hAnsi="宋体" w:hint="eastAsia"/>
          <w:bCs/>
          <w:kern w:val="72"/>
          <w:szCs w:val="28"/>
        </w:rPr>
        <w:t>合金库存数量管理：系统实时累算余料，根据每种合金最低库存数量制定报警机制，并依据月度各钢种生产计划，结合库存情况，制定月度合金入库需求总量月计划，结合场地情况和日生产计划，制定进库日计划。对长周期库存合金，制定报警机制。</w:t>
      </w:r>
    </w:p>
    <w:p w:rsidR="00104999" w:rsidRPr="00104999" w:rsidRDefault="00104999" w:rsidP="005311BD">
      <w:pPr>
        <w:pStyle w:val="2"/>
        <w:ind w:leftChars="0" w:left="0" w:firstLineChars="0" w:firstLine="560"/>
        <w:rPr>
          <w:rFonts w:ascii="宋体" w:hAnsi="宋体"/>
          <w:bCs/>
          <w:color w:val="FF0000"/>
          <w:kern w:val="72"/>
          <w:szCs w:val="28"/>
        </w:rPr>
      </w:pPr>
      <w:r w:rsidRPr="00104999">
        <w:rPr>
          <w:rFonts w:ascii="宋体" w:hAnsi="宋体" w:hint="eastAsia"/>
          <w:bCs/>
          <w:color w:val="FF0000"/>
          <w:kern w:val="72"/>
          <w:szCs w:val="28"/>
        </w:rPr>
        <w:t>H、（还是把管理制度编写进程序）</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3）信息大屏</w:t>
      </w:r>
    </w:p>
    <w:p w:rsidR="005311BD" w:rsidRDefault="005311BD" w:rsidP="005311BD">
      <w:pPr>
        <w:pStyle w:val="2"/>
        <w:ind w:leftChars="0" w:left="0" w:firstLineChars="100" w:firstLine="280"/>
        <w:rPr>
          <w:rFonts w:ascii="宋体" w:hAnsi="宋体"/>
          <w:bCs/>
          <w:kern w:val="72"/>
          <w:szCs w:val="28"/>
        </w:rPr>
      </w:pPr>
      <w:r>
        <w:rPr>
          <w:rFonts w:ascii="宋体" w:hAnsi="宋体" w:hint="eastAsia"/>
          <w:bCs/>
          <w:kern w:val="72"/>
          <w:szCs w:val="28"/>
        </w:rPr>
        <w:t>信息大屏采用LED大屏幕，装设在合金库内，提供整个系统从汽车配送到高位料仓补料提供指导以及系统状态提示。</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库区配送屏：提示料槽物料余量以及配送汽车卸货位置。</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地下料仓补给屏：提示地下料仓物料余量以及补给要求。</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高位料仓补给屏：提示高位料仓物料余量以及补给要求。</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大屏类型：LED（可编辑）</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通讯形式：以太网（初定）</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可视距离：80米</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屏幕规格：≥2M*4M</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数    量：3块</w:t>
      </w:r>
    </w:p>
    <w:p w:rsidR="005D088A" w:rsidRDefault="00660BC5">
      <w:bookmarkStart w:id="9" w:name="_GoBack"/>
      <w:bookmarkEnd w:id="0"/>
      <w:bookmarkEnd w:id="1"/>
      <w:bookmarkEnd w:id="2"/>
      <w:bookmarkEnd w:id="3"/>
      <w:bookmarkEnd w:id="4"/>
      <w:bookmarkEnd w:id="5"/>
      <w:bookmarkEnd w:id="6"/>
      <w:bookmarkEnd w:id="7"/>
      <w:bookmarkEnd w:id="8"/>
      <w:bookmarkEnd w:id="9"/>
    </w:p>
    <w:sectPr w:rsidR="005D088A" w:rsidSect="000171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C5" w:rsidRDefault="00660BC5" w:rsidP="005311BD">
      <w:r>
        <w:separator/>
      </w:r>
    </w:p>
  </w:endnote>
  <w:endnote w:type="continuationSeparator" w:id="0">
    <w:p w:rsidR="00660BC5" w:rsidRDefault="00660BC5" w:rsidP="005311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C5" w:rsidRDefault="00660BC5" w:rsidP="005311BD">
      <w:r>
        <w:separator/>
      </w:r>
    </w:p>
  </w:footnote>
  <w:footnote w:type="continuationSeparator" w:id="0">
    <w:p w:rsidR="00660BC5" w:rsidRDefault="00660BC5" w:rsidP="005311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425" w:hanging="425"/>
      </w:pPr>
      <w:rPr>
        <w:rFonts w:hint="default"/>
      </w:rPr>
    </w:lvl>
    <w:lvl w:ilvl="1">
      <w:start w:val="1"/>
      <w:numFmt w:val="lowerLetter"/>
      <w:lvlText w:val="%2)"/>
      <w:lvlJc w:val="left"/>
      <w:pPr>
        <w:ind w:left="1453" w:hanging="420"/>
      </w:pPr>
    </w:lvl>
    <w:lvl w:ilvl="2">
      <w:start w:val="1"/>
      <w:numFmt w:val="lowerRoman"/>
      <w:lvlText w:val="%3."/>
      <w:lvlJc w:val="right"/>
      <w:pPr>
        <w:ind w:left="1873" w:hanging="420"/>
      </w:pPr>
    </w:lvl>
    <w:lvl w:ilvl="3">
      <w:start w:val="1"/>
      <w:numFmt w:val="decimal"/>
      <w:lvlText w:val="%4."/>
      <w:lvlJc w:val="left"/>
      <w:pPr>
        <w:ind w:left="2293" w:hanging="420"/>
      </w:pPr>
    </w:lvl>
    <w:lvl w:ilvl="4">
      <w:start w:val="1"/>
      <w:numFmt w:val="lowerLetter"/>
      <w:lvlText w:val="%5)"/>
      <w:lvlJc w:val="left"/>
      <w:pPr>
        <w:ind w:left="2713" w:hanging="420"/>
      </w:pPr>
    </w:lvl>
    <w:lvl w:ilvl="5">
      <w:start w:val="1"/>
      <w:numFmt w:val="lowerRoman"/>
      <w:lvlText w:val="%6."/>
      <w:lvlJc w:val="right"/>
      <w:pPr>
        <w:ind w:left="3133" w:hanging="420"/>
      </w:pPr>
    </w:lvl>
    <w:lvl w:ilvl="6">
      <w:start w:val="1"/>
      <w:numFmt w:val="decimal"/>
      <w:lvlText w:val="%7."/>
      <w:lvlJc w:val="left"/>
      <w:pPr>
        <w:ind w:left="3553" w:hanging="420"/>
      </w:pPr>
    </w:lvl>
    <w:lvl w:ilvl="7">
      <w:start w:val="1"/>
      <w:numFmt w:val="lowerLetter"/>
      <w:lvlText w:val="%8)"/>
      <w:lvlJc w:val="left"/>
      <w:pPr>
        <w:ind w:left="3973" w:hanging="420"/>
      </w:pPr>
    </w:lvl>
    <w:lvl w:ilvl="8">
      <w:start w:val="1"/>
      <w:numFmt w:val="lowerRoman"/>
      <w:lvlText w:val="%9."/>
      <w:lvlJc w:val="right"/>
      <w:pPr>
        <w:ind w:left="4393" w:hanging="420"/>
      </w:pPr>
    </w:lvl>
  </w:abstractNum>
  <w:abstractNum w:abstractNumId="1">
    <w:nsid w:val="6C352054"/>
    <w:multiLevelType w:val="singleLevel"/>
    <w:tmpl w:val="6C352054"/>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42E4"/>
    <w:rsid w:val="00017115"/>
    <w:rsid w:val="00104999"/>
    <w:rsid w:val="002021C9"/>
    <w:rsid w:val="005311BD"/>
    <w:rsid w:val="00660BC5"/>
    <w:rsid w:val="00811D15"/>
    <w:rsid w:val="008529C9"/>
    <w:rsid w:val="00AA42E4"/>
    <w:rsid w:val="00D01516"/>
    <w:rsid w:val="00E647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5311B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1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1BD"/>
    <w:rPr>
      <w:sz w:val="18"/>
      <w:szCs w:val="18"/>
    </w:rPr>
  </w:style>
  <w:style w:type="paragraph" w:styleId="a4">
    <w:name w:val="footer"/>
    <w:basedOn w:val="a"/>
    <w:link w:val="Char0"/>
    <w:uiPriority w:val="99"/>
    <w:unhideWhenUsed/>
    <w:rsid w:val="005311BD"/>
    <w:pPr>
      <w:tabs>
        <w:tab w:val="center" w:pos="4153"/>
        <w:tab w:val="right" w:pos="8306"/>
      </w:tabs>
      <w:snapToGrid w:val="0"/>
      <w:jc w:val="left"/>
    </w:pPr>
    <w:rPr>
      <w:sz w:val="18"/>
      <w:szCs w:val="18"/>
    </w:rPr>
  </w:style>
  <w:style w:type="character" w:customStyle="1" w:styleId="Char0">
    <w:name w:val="页脚 Char"/>
    <w:basedOn w:val="a0"/>
    <w:link w:val="a4"/>
    <w:uiPriority w:val="99"/>
    <w:rsid w:val="005311BD"/>
    <w:rPr>
      <w:sz w:val="18"/>
      <w:szCs w:val="18"/>
    </w:rPr>
  </w:style>
  <w:style w:type="paragraph" w:styleId="a5">
    <w:name w:val="Body Text Indent"/>
    <w:basedOn w:val="a"/>
    <w:link w:val="Char1"/>
    <w:uiPriority w:val="99"/>
    <w:semiHidden/>
    <w:unhideWhenUsed/>
    <w:rsid w:val="005311BD"/>
    <w:pPr>
      <w:spacing w:after="120"/>
      <w:ind w:leftChars="200" w:left="420"/>
    </w:pPr>
  </w:style>
  <w:style w:type="character" w:customStyle="1" w:styleId="Char1">
    <w:name w:val="正文文本缩进 Char"/>
    <w:basedOn w:val="a0"/>
    <w:link w:val="a5"/>
    <w:uiPriority w:val="99"/>
    <w:semiHidden/>
    <w:rsid w:val="005311BD"/>
    <w:rPr>
      <w:rFonts w:ascii="Times New Roman" w:eastAsia="宋体" w:hAnsi="Times New Roman" w:cs="Times New Roman"/>
      <w:szCs w:val="20"/>
    </w:rPr>
  </w:style>
  <w:style w:type="paragraph" w:styleId="2">
    <w:name w:val="Body Text First Indent 2"/>
    <w:basedOn w:val="a5"/>
    <w:link w:val="2Char"/>
    <w:rsid w:val="005311BD"/>
    <w:pPr>
      <w:spacing w:after="0"/>
      <w:ind w:firstLineChars="200" w:firstLine="420"/>
    </w:pPr>
    <w:rPr>
      <w:sz w:val="28"/>
    </w:rPr>
  </w:style>
  <w:style w:type="character" w:customStyle="1" w:styleId="2Char">
    <w:name w:val="正文首行缩进 2 Char"/>
    <w:basedOn w:val="Char1"/>
    <w:link w:val="2"/>
    <w:rsid w:val="005311BD"/>
    <w:rPr>
      <w:sz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282</Words>
  <Characters>1614</Characters>
  <Application>Microsoft Office Word</Application>
  <DocSecurity>0</DocSecurity>
  <Lines>13</Lines>
  <Paragraphs>3</Paragraphs>
  <ScaleCrop>false</ScaleCrop>
  <Company>MS</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dc:creator>
  <cp:lastModifiedBy>USER-</cp:lastModifiedBy>
  <cp:revision>2</cp:revision>
  <dcterms:created xsi:type="dcterms:W3CDTF">2020-04-12T00:37:00Z</dcterms:created>
  <dcterms:modified xsi:type="dcterms:W3CDTF">2020-04-12T00:37:00Z</dcterms:modified>
</cp:coreProperties>
</file>