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727B6D">
      <w:pPr>
        <w:spacing w:after="80"/>
        <w:jc w:val="center"/>
      </w:pPr>
      <w:r>
        <w:rPr>
          <w:b/>
          <w:bCs/>
          <w:color w:val="000000"/>
          <w:sz w:val="44"/>
          <w:szCs w:val="44"/>
        </w:rPr>
        <w:t>停车明细分析报告</w:t>
      </w:r>
    </w:p>
    <w:p w14:paraId="3CF05F38">
      <w:pPr>
        <w:spacing w:after="240"/>
        <w:jc w:val="center"/>
      </w:pPr>
      <w:r>
        <w:rPr>
          <w:i/>
          <w:iCs/>
          <w:color w:val="C00000"/>
          <w:sz w:val="18"/>
          <w:szCs w:val="18"/>
        </w:rPr>
        <w:t>【报告模板 —— 红色斜体为需由智能体填写的占位内容】</w:t>
      </w:r>
    </w:p>
    <w:p w14:paraId="5C8CAF09">
      <w:pPr>
        <w:pStyle w:val="3"/>
      </w:pPr>
      <w:r>
        <w:t>报告信息</w:t>
      </w:r>
    </w:p>
    <w:p w14:paraId="5AA2DAF3">
      <w:pPr>
        <w:pStyle w:val="16"/>
        <w:numPr>
          <w:ilvl w:val="0"/>
          <w:numId w:val="1"/>
        </w:numPr>
        <w:spacing w:after="60"/>
      </w:pPr>
      <w:r>
        <w:t>数据周期：【起始日期 – 结束日期】</w:t>
      </w:r>
    </w:p>
    <w:p w14:paraId="38936A42">
      <w:pPr>
        <w:pStyle w:val="16"/>
        <w:numPr>
          <w:ilvl w:val="0"/>
          <w:numId w:val="1"/>
        </w:numPr>
        <w:spacing w:after="60"/>
      </w:pPr>
      <w:r>
        <w:t>生成时间：【时间戳】</w:t>
      </w:r>
    </w:p>
    <w:p w14:paraId="2C5E167E">
      <w:pPr>
        <w:pStyle w:val="2"/>
      </w:pPr>
      <w:r>
        <w:t>一、关键指标（硬性数字）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00"/>
        <w:gridCol w:w="2400"/>
        <w:gridCol w:w="3360"/>
      </w:tblGrid>
      <w:tr w14:paraId="5D854593"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EA9A3">
            <w:bookmarkStart w:id="0" w:name="_GoBack"/>
            <w:bookmarkEnd w:id="0"/>
            <w:r>
              <w:rPr>
                <w:b/>
                <w:bCs/>
                <w:color w:val="FFFFFF"/>
              </w:rPr>
              <w:t>指标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30C89">
            <w:r>
              <w:rPr>
                <w:b/>
                <w:bCs/>
                <w:color w:val="FFFFFF"/>
              </w:rPr>
              <w:t>填写值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D3D72">
            <w:r>
              <w:rPr>
                <w:b/>
                <w:bCs/>
                <w:color w:val="FFFFFF"/>
              </w:rPr>
              <w:t>示例预期值</w:t>
            </w:r>
          </w:p>
        </w:tc>
      </w:tr>
      <w:tr w14:paraId="612D7A35"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590C2">
            <w:r>
              <w:rPr>
                <w:b/>
                <w:bCs/>
                <w:color w:val="000000"/>
              </w:rPr>
              <w:t>1. 总交易笔数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E8AD6">
            <w:r>
              <w:rPr>
                <w:b w:val="0"/>
                <w:bCs w:val="0"/>
                <w:color w:val="C00000"/>
              </w:rPr>
              <w:t>[ 笔数 ]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6B981">
            <w:r>
              <w:rPr>
                <w:b w:val="0"/>
                <w:bCs w:val="0"/>
                <w:color w:val="595959"/>
              </w:rPr>
              <w:t>= 14</w:t>
            </w:r>
          </w:p>
        </w:tc>
      </w:tr>
      <w:tr w14:paraId="402CA71E"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4D9EC">
            <w:r>
              <w:rPr>
                <w:b/>
                <w:bCs/>
                <w:color w:val="000000"/>
              </w:rPr>
              <w:t>2. 应收总金额（元）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87555">
            <w:r>
              <w:rPr>
                <w:b w:val="0"/>
                <w:bCs w:val="0"/>
                <w:color w:val="C00000"/>
              </w:rPr>
              <w:t>[ ¥ ___ ]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0E5CE">
            <w:r>
              <w:rPr>
                <w:b w:val="0"/>
                <w:bCs w:val="0"/>
                <w:color w:val="595959"/>
              </w:rPr>
              <w:t>= ¥540</w:t>
            </w:r>
          </w:p>
        </w:tc>
      </w:tr>
      <w:tr w14:paraId="4AAB2DA9"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4D0E1">
            <w:r>
              <w:rPr>
                <w:b/>
                <w:bCs/>
                <w:color w:val="000000"/>
              </w:rPr>
              <w:t>3. 实收总金额（元）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ED837">
            <w:r>
              <w:rPr>
                <w:b w:val="0"/>
                <w:bCs w:val="0"/>
                <w:color w:val="C00000"/>
              </w:rPr>
              <w:t>[ ¥ ___ ]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42670">
            <w:r>
              <w:rPr>
                <w:b w:val="0"/>
                <w:bCs w:val="0"/>
                <w:color w:val="595959"/>
              </w:rPr>
              <w:t>= ¥390</w:t>
            </w:r>
          </w:p>
        </w:tc>
      </w:tr>
      <w:tr w14:paraId="6F853455"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CFE6C">
            <w:r>
              <w:rPr>
                <w:b/>
                <w:bCs/>
                <w:color w:val="000000"/>
              </w:rPr>
              <w:t>4. 实际抵扣总额（元）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4D0C1">
            <w:r>
              <w:rPr>
                <w:b w:val="0"/>
                <w:bCs w:val="0"/>
                <w:color w:val="C00000"/>
              </w:rPr>
              <w:t>[ ¥ ___ ]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38856">
            <w:r>
              <w:rPr>
                <w:b w:val="0"/>
                <w:bCs w:val="0"/>
                <w:color w:val="595959"/>
              </w:rPr>
              <w:t>= ¥150</w:t>
            </w:r>
          </w:p>
        </w:tc>
      </w:tr>
      <w:tr w14:paraId="0A002D27"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18C1E">
            <w:r>
              <w:rPr>
                <w:b/>
                <w:bCs/>
                <w:color w:val="000000"/>
              </w:rPr>
              <w:t>5. 实收率（%）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BF445">
            <w:r>
              <w:rPr>
                <w:b w:val="0"/>
                <w:bCs w:val="0"/>
                <w:color w:val="C00000"/>
              </w:rPr>
              <w:t>[ __._% ]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DDD2E">
            <w:r>
              <w:rPr>
                <w:b w:val="0"/>
                <w:bCs w:val="0"/>
                <w:color w:val="595959"/>
              </w:rPr>
              <w:t>= 72.2%</w:t>
            </w:r>
          </w:p>
        </w:tc>
      </w:tr>
      <w:tr w14:paraId="14A6F61A"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EEF56">
            <w:r>
              <w:rPr>
                <w:b/>
                <w:bCs/>
                <w:color w:val="000000"/>
              </w:rPr>
              <w:t>6. 主要支付方式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C1993">
            <w:r>
              <w:rPr>
                <w:b w:val="0"/>
                <w:bCs w:val="0"/>
                <w:color w:val="C00000"/>
              </w:rPr>
              <w:t>[ ____ ×N ]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C09CA">
            <w:r>
              <w:rPr>
                <w:b w:val="0"/>
                <w:bCs w:val="0"/>
                <w:color w:val="595959"/>
              </w:rPr>
              <w:t>= 微信 ×6</w:t>
            </w:r>
          </w:p>
        </w:tc>
      </w:tr>
    </w:tbl>
    <w:p w14:paraId="640CCC09">
      <w:pPr>
        <w:pStyle w:val="2"/>
      </w:pPr>
      <w:r>
        <w:t>二、支付方式与渠道</w:t>
      </w:r>
    </w:p>
    <w:p w14:paraId="5F248AD4">
      <w:pPr>
        <w:spacing w:after="120"/>
      </w:pPr>
      <w:r>
        <w:rPr>
          <w:i/>
          <w:iCs/>
          <w:color w:val="C00000"/>
        </w:rPr>
        <w:t>【叙述：各支付方式与支付渠道（线上支付 / 出口贴码）的分布情况，指出占主导的方式与渠道。】</w:t>
      </w:r>
    </w:p>
    <w:p w14:paraId="514AAAF2">
      <w:pPr>
        <w:pStyle w:val="3"/>
      </w:pPr>
      <w:r>
        <w:t>（一）支付方式分布图</w:t>
      </w:r>
    </w:p>
    <w:p w14:paraId="53F143F6">
      <w:pPr>
        <w:spacing w:after="80"/>
        <w:jc w:val="center"/>
      </w:pPr>
      <w:r>
        <w:drawing>
          <wp:inline distT="0" distB="0" distL="0" distR="0">
            <wp:extent cx="4381500" cy="2476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47748">
      <w:pPr>
        <w:spacing w:after="160"/>
        <w:jc w:val="center"/>
      </w:pPr>
      <w:r>
        <w:rPr>
          <w:i/>
          <w:iCs/>
          <w:color w:val="C00000"/>
          <w:sz w:val="16"/>
          <w:szCs w:val="16"/>
        </w:rPr>
        <w:t>【占位图 —— 须由智能体替换为依据实际数据生成的图表。报告至少须包含一张真实图表。】</w:t>
      </w:r>
    </w:p>
    <w:p w14:paraId="7F87331B">
      <w:pPr>
        <w:pStyle w:val="2"/>
      </w:pPr>
      <w:r>
        <w:t>三、停车时长分析</w:t>
      </w:r>
    </w:p>
    <w:p w14:paraId="549E3D39">
      <w:pPr>
        <w:spacing w:after="120"/>
      </w:pPr>
      <w:r>
        <w:rPr>
          <w:i/>
          <w:iCs/>
          <w:color w:val="C00000"/>
        </w:rPr>
        <w:t>【根据“收费时间 − 进车时间”推算停车时长。报告平均值 / 分布情况及明显的长时停车异常项。可选择再加入一张图表（按小时或时长区间）。】</w:t>
      </w:r>
    </w:p>
    <w:p w14:paraId="45ED6091">
      <w:pPr>
        <w:pStyle w:val="2"/>
      </w:pPr>
      <w:r>
        <w:t>四、补充观察</w:t>
      </w:r>
    </w:p>
    <w:p w14:paraId="48D015F4">
      <w:pPr>
        <w:spacing w:after="120"/>
        <w:rPr>
          <w:i/>
          <w:iCs/>
          <w:color w:val="C00000"/>
        </w:rPr>
      </w:pPr>
      <w:r>
        <w:rPr>
          <w:i/>
          <w:iCs/>
          <w:color w:val="C00000"/>
        </w:rPr>
        <w:t xml:space="preserve">【智能体生成的观察内容置于此处 —— </w:t>
      </w:r>
      <w:r>
        <w:rPr>
          <w:rFonts w:hint="eastAsia"/>
          <w:i/>
          <w:iCs/>
          <w:color w:val="C00000"/>
          <w:lang w:val="en-US" w:eastAsia="zh-CN"/>
        </w:rPr>
        <w:t>2</w:t>
      </w:r>
      <w:r>
        <w:rPr>
          <w:i/>
          <w:iCs/>
          <w:color w:val="C00000"/>
        </w:rPr>
        <w:t xml:space="preserve"> 至 </w:t>
      </w:r>
      <w:r>
        <w:rPr>
          <w:rFonts w:hint="eastAsia"/>
          <w:i/>
          <w:iCs/>
          <w:color w:val="C00000"/>
          <w:lang w:val="en-US" w:eastAsia="zh-CN"/>
        </w:rPr>
        <w:t>3</w:t>
      </w:r>
      <w:r>
        <w:rPr>
          <w:i/>
          <w:iCs/>
          <w:color w:val="C00000"/>
        </w:rPr>
        <w:t xml:space="preserve"> 条简洁、有数据支撑、与管理决策相关的要点。</w:t>
      </w:r>
    </w:p>
    <w:p w14:paraId="75F47DAF">
      <w:pPr>
        <w:spacing w:after="120"/>
        <w:rPr>
          <w:i/>
          <w:iCs/>
          <w:color w:val="C00000"/>
        </w:rPr>
      </w:pPr>
      <w:r>
        <w:rPr>
          <w:i/>
          <w:iCs/>
          <w:color w:val="C00000"/>
        </w:rPr>
        <w:t>读者对象：负责经营本停车业务的管理者。本节由智能体撰写，不设固定公式。应基于数据给出对决策有价值的洞察 —— 例如收入流失、免费 / 优惠敞口、渠道结构变化、异常情况或时段规律等。】</w:t>
      </w:r>
    </w:p>
    <w:p w14:paraId="51ECD751">
      <w:pPr>
        <w:pStyle w:val="2"/>
      </w:pPr>
      <w:r>
        <w:t>五、结论与建议</w:t>
      </w:r>
    </w:p>
    <w:p w14:paraId="6AB1DF35">
      <w:pPr>
        <w:spacing w:after="120"/>
      </w:pPr>
      <w:r>
        <w:rPr>
          <w:i/>
          <w:iCs/>
          <w:color w:val="C00000"/>
        </w:rPr>
        <w:t>【依据上述分析给出 2 至 4 条可执行的建议。</w:t>
      </w:r>
      <w:r>
        <w:rPr>
          <w:rFonts w:hint="eastAsia"/>
          <w:i/>
          <w:iCs/>
          <w:color w:val="C00000"/>
          <w:lang w:val="en-US" w:eastAsia="zh-CN"/>
        </w:rPr>
        <w:t>如无建议，请说明。</w:t>
      </w:r>
      <w:r>
        <w:rPr>
          <w:i/>
          <w:iCs/>
          <w:color w:val="C00000"/>
        </w:rPr>
        <w:t>】</w:t>
      </w:r>
    </w:p>
    <w:p w14:paraId="409E8DF2">
      <w:pPr>
        <w:spacing w:before="240"/>
        <w:jc w:val="both"/>
      </w:pPr>
    </w:p>
    <w:sectPr>
      <w:footerReference r:id="rId3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Noto Sans CJK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4DB903">
    <w:pPr>
      <w:jc w:val="center"/>
    </w:pPr>
    <w: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页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716C87F"/>
    <w:multiLevelType w:val="singleLevel"/>
    <w:tmpl w:val="C716C87F"/>
    <w:lvl w:ilvl="0" w:tentative="0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2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3C3FF69B"/>
    <w:rsid w:val="6C7FE47F"/>
    <w:rsid w:val="ED9DE433"/>
    <w:rsid w:val="F3FF4297"/>
    <w:rsid w:val="FB5C4FFA"/>
    <w:rsid w:val="FFBB899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Noto Sans CJK SC" w:hAnsi="Noto Sans CJK SC" w:eastAsia="Noto Sans CJK SC" w:cs="Noto Sans CJK SC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Noto Sans CJK SC" w:hAnsi="Noto Sans CJK SC" w:eastAsia="Noto Sans CJK SC" w:cs="Noto Sans CJK SC"/>
      <w:sz w:val="22"/>
      <w:szCs w:val="22"/>
    </w:rPr>
  </w:style>
  <w:style w:type="paragraph" w:styleId="2">
    <w:name w:val="heading 1"/>
    <w:next w:val="1"/>
    <w:qFormat/>
    <w:uiPriority w:val="0"/>
    <w:pPr>
      <w:spacing w:before="280" w:after="160"/>
      <w:outlineLvl w:val="0"/>
    </w:pPr>
    <w:rPr>
      <w:rFonts w:ascii="Noto Sans CJK SC" w:hAnsi="Noto Sans CJK SC" w:eastAsia="Noto Sans CJK SC" w:cs="Noto Sans CJK SC"/>
      <w:b/>
      <w:bCs/>
      <w:color w:val="1F4E79"/>
      <w:sz w:val="30"/>
      <w:szCs w:val="30"/>
    </w:rPr>
  </w:style>
  <w:style w:type="paragraph" w:styleId="3">
    <w:name w:val="heading 2"/>
    <w:next w:val="1"/>
    <w:qFormat/>
    <w:uiPriority w:val="0"/>
    <w:pPr>
      <w:spacing w:before="200" w:after="120"/>
      <w:outlineLvl w:val="1"/>
    </w:pPr>
    <w:rPr>
      <w:rFonts w:ascii="Noto Sans CJK SC" w:hAnsi="Noto Sans CJK SC" w:eastAsia="Noto Sans CJK SC" w:cs="Noto Sans CJK SC"/>
      <w:b/>
      <w:bCs/>
      <w:color w:val="2E5E8C"/>
      <w:sz w:val="25"/>
      <w:szCs w:val="25"/>
    </w:rPr>
  </w:style>
  <w:style w:type="paragraph" w:styleId="4">
    <w:name w:val="heading 3"/>
    <w:next w:val="1"/>
    <w:qFormat/>
    <w:uiPriority w:val="0"/>
    <w:rPr>
      <w:rFonts w:ascii="Noto Sans CJK SC" w:hAnsi="Noto Sans CJK SC" w:eastAsia="Noto Sans CJK SC" w:cs="Noto Sans CJK SC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Noto Sans CJK SC" w:hAnsi="Noto Sans CJK SC" w:eastAsia="Noto Sans CJK SC" w:cs="Noto Sans CJK SC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Noto Sans CJK SC" w:hAnsi="Noto Sans CJK SC" w:eastAsia="Noto Sans CJK SC" w:cs="Noto Sans CJK SC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Noto Sans CJK SC" w:hAnsi="Noto Sans CJK SC" w:eastAsia="Noto Sans CJK SC" w:cs="Noto Sans CJK SC"/>
      <w:color w:val="1F4D78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Noto Sans CJK SC" w:hAnsi="Noto Sans CJK SC" w:eastAsia="Noto Sans CJK SC" w:cs="Noto Sans CJK SC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Noto Sans CJK SC" w:hAnsi="Noto Sans CJK SC" w:eastAsia="Noto Sans CJK SC" w:cs="Noto Sans CJK SC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Noto Sans CJK SC" w:hAnsi="Noto Sans CJK SC" w:eastAsia="Noto Sans CJK SC" w:cs="Noto Sans CJK SC"/>
      <w:sz w:val="56"/>
      <w:szCs w:val="56"/>
    </w:rPr>
  </w:style>
  <w:style w:type="paragraph" w:styleId="16">
    <w:name w:val="List Paragraph"/>
    <w:qFormat/>
    <w:uiPriority w:val="0"/>
    <w:rPr>
      <w:rFonts w:ascii="Noto Sans CJK SC" w:hAnsi="Noto Sans CJK SC" w:eastAsia="Noto Sans CJK SC" w:cs="Noto Sans CJK SC"/>
      <w:sz w:val="22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0</TotalTime>
  <ScaleCrop>false</ScaleCrop>
  <LinksUpToDate>false</LinksUpToDate>
  <Application>WPS Office_12.1.25897.25897_F1E327BC-269C-435d-A152-05C5408002CA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Frank Gu</cp:lastModifiedBy>
  <dcterms:modified xsi:type="dcterms:W3CDTF">2026-06-05T03:16:40Z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1033-12.1.25897.25897</vt:lpwstr>
  </property>
  <property fmtid="{D5CDD505-2E9C-101B-9397-08002B2CF9AE}" pid="3" name="ICV">
    <vt:lpwstr>10B37E011DFA28256BCE216A3A7A9FFD_42</vt:lpwstr>
  </property>
</Properties>
</file>