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27B6D">
      <w:pPr>
        <w:spacing w:after="80"/>
        <w:jc w:val="center"/>
      </w:pPr>
      <w:r>
        <w:rPr>
          <w:b/>
          <w:bCs/>
          <w:color w:val="000000"/>
          <w:sz w:val="44"/>
          <w:szCs w:val="44"/>
        </w:rPr>
        <w:t>停车明细分析报告</w:t>
      </w:r>
    </w:p>
    <w:p w14:paraId="3CF05F38">
      <w:pPr>
        <w:spacing w:after="240"/>
        <w:jc w:val="center"/>
      </w:pPr>
      <w:r>
        <w:rPr>
          <w:i/>
          <w:iCs/>
          <w:color w:val="C00000"/>
          <w:sz w:val="18"/>
          <w:szCs w:val="18"/>
        </w:rPr>
        <w:t>【报告模板 —— 红色斜体为需由智能体填写的占位内容】</w:t>
      </w:r>
    </w:p>
    <w:p w14:paraId="5C8CAF09">
      <w:pPr>
        <w:pStyle w:val="3"/>
      </w:pPr>
      <w:r>
        <w:t>报告信息</w:t>
      </w:r>
    </w:p>
    <w:p w14:paraId="5AA2DAF3">
      <w:pPr>
        <w:pStyle w:val="16"/>
        <w:numPr>
          <w:ilvl w:val="0"/>
          <w:numId w:val="1"/>
        </w:numPr>
        <w:spacing w:after="60"/>
      </w:pPr>
      <w:r>
        <w:t>数据周期：2026-04-01 至 2026-04-30</w:t>
      </w:r>
    </w:p>
    <w:p w14:paraId="38936A42">
      <w:pPr>
        <w:pStyle w:val="16"/>
        <w:numPr>
          <w:ilvl w:val="0"/>
          <w:numId w:val="1"/>
        </w:numPr>
        <w:spacing w:after="60"/>
      </w:pPr>
      <w:r>
        <w:t>生成时间：2026-06-05 12:47:24</w:t>
      </w:r>
    </w:p>
    <w:p w14:paraId="2C5E167E">
      <w:pPr>
        <w:pStyle w:val="2"/>
      </w:pPr>
      <w:r>
        <w:t>一、关键指标（硬性数字）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2400"/>
        <w:gridCol w:w="3360"/>
      </w:tblGrid>
      <w:tr w14:paraId="5D854593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A9A3">
            <w:bookmarkStart w:id="0" w:name="_GoBack"/>
            <w:bookmarkEnd w:id="0"/>
            <w:r>
              <w:rPr>
                <w:b/>
                <w:bCs/>
                <w:color w:val="FFFFFF"/>
              </w:rPr>
              <w:t>指标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0C89">
            <w:r>
              <w:rPr>
                <w:b/>
                <w:bCs/>
                <w:color w:val="FFFFFF"/>
              </w:rPr>
              <w:t>填写值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3D72">
            <w:r>
              <w:rPr>
                <w:b/>
                <w:bCs/>
                <w:color w:val="FFFFFF"/>
              </w:rPr>
              <w:t>示例预期值</w:t>
            </w:r>
          </w:p>
        </w:tc>
      </w:tr>
      <w:tr w14:paraId="612D7A35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590C2">
            <w:r>
              <w:rPr>
                <w:b/>
                <w:bCs/>
                <w:color w:val="000000"/>
              </w:rPr>
              <w:t>1. 总交易笔数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3674 笔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B981">
            <w:r>
              <w:rPr>
                <w:b w:val="0"/>
                <w:bCs w:val="0"/>
                <w:color w:val="595959"/>
              </w:rPr>
              <w:t>= 14</w:t>
            </w:r>
          </w:p>
        </w:tc>
      </w:tr>
      <w:tr w14:paraId="402CA71E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D9EC">
            <w:r>
              <w:rPr>
                <w:b/>
                <w:bCs/>
                <w:color w:val="000000"/>
              </w:rPr>
              <w:t>2. 应收总金额（元）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¥ 105795.00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0E5CE">
            <w:r>
              <w:rPr>
                <w:b w:val="0"/>
                <w:bCs w:val="0"/>
                <w:color w:val="595959"/>
              </w:rPr>
              <w:t>= ¥540</w:t>
            </w:r>
          </w:p>
        </w:tc>
      </w:tr>
      <w:tr w14:paraId="4AAB2DA9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D0E1">
            <w:r>
              <w:rPr>
                <w:b/>
                <w:bCs/>
                <w:color w:val="000000"/>
              </w:rPr>
              <w:t>3. 实收总金额（元）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¥ 57397.50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2670">
            <w:r>
              <w:rPr>
                <w:b w:val="0"/>
                <w:bCs w:val="0"/>
                <w:color w:val="595959"/>
              </w:rPr>
              <w:t>= ¥390</w:t>
            </w:r>
          </w:p>
        </w:tc>
      </w:tr>
      <w:tr w14:paraId="6F853455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FE6C">
            <w:r>
              <w:rPr>
                <w:b/>
                <w:bCs/>
                <w:color w:val="000000"/>
              </w:rPr>
              <w:t>4. 实际抵扣总额（元）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¥ 48285.00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8856">
            <w:r>
              <w:rPr>
                <w:b w:val="0"/>
                <w:bCs w:val="0"/>
                <w:color w:val="595959"/>
              </w:rPr>
              <w:t>= ¥150</w:t>
            </w:r>
          </w:p>
        </w:tc>
      </w:tr>
      <w:tr w14:paraId="0A002D27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8C1E">
            <w:r>
              <w:rPr>
                <w:b/>
                <w:bCs/>
                <w:color w:val="000000"/>
              </w:rPr>
              <w:t>5. 实收率（%）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54.3%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DDD2E">
            <w:r>
              <w:rPr>
                <w:b w:val="0"/>
                <w:bCs w:val="0"/>
                <w:color w:val="595959"/>
              </w:rPr>
              <w:t>= 72.2%</w:t>
            </w:r>
          </w:p>
        </w:tc>
      </w:tr>
      <w:tr w14:paraId="14A6F61A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EF56">
            <w:r>
              <w:rPr>
                <w:b/>
                <w:bCs/>
                <w:color w:val="000000"/>
              </w:rPr>
              <w:t>6. 主要支付方式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微信 ×1435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09CA">
            <w:r>
              <w:rPr>
                <w:b w:val="0"/>
                <w:bCs w:val="0"/>
                <w:color w:val="595959"/>
              </w:rPr>
              <w:t>= 微信 ×6</w:t>
            </w:r>
          </w:p>
        </w:tc>
      </w:tr>
    </w:tbl>
    <w:p w14:paraId="640CCC09">
      <w:pPr>
        <w:pStyle w:val="2"/>
      </w:pPr>
      <w:r>
        <w:t>二、支付方式与渠道</w:t>
      </w:r>
    </w:p>
    <w:p w14:paraId="5F248AD4">
      <w:pPr>
        <w:spacing w:after="120"/>
      </w:pPr>
      <w:r>
        <w:t>支付方式分布为：微信 1435 笔；会员积分 1396 笔；优惠券 777 笔；支付宝 63 笔；现金 3 笔。主要支付方式是微信（1435 笔）。支付渠道分布为：线上支付 3122 笔；出口贴码 544 笔；出口缴费机 5 笔；遥控放行登记 3 笔。</w:t>
      </w:r>
    </w:p>
    <w:p>
      <w:r>
        <w:drawing>
          <wp:inline xmlns:a="http://schemas.openxmlformats.org/drawingml/2006/main" xmlns:pic="http://schemas.openxmlformats.org/drawingml/2006/picture">
            <wp:extent cx="5303520" cy="3093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_method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4AAAF2">
      <w:pPr>
        <w:pStyle w:val="3"/>
      </w:pPr>
      <w:r>
        <w:t>（一）支付方式分布图</w:t>
      </w:r>
    </w:p>
    <w:p w14:paraId="53F143F6">
      <w:pPr>
        <w:spacing w:after="80"/>
        <w:jc w:val="center"/>
      </w:pPr>
      <w:r>
        <w:drawing>
          <wp:inline distT="0" distB="0" distL="0" distR="0">
            <wp:extent cx="43815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7748">
      <w:pPr>
        <w:spacing w:after="160"/>
        <w:jc w:val="center"/>
      </w:pPr>
      <w:r/>
    </w:p>
    <w:p w14:paraId="7F87331B">
      <w:pPr>
        <w:pStyle w:val="2"/>
      </w:pPr>
      <w:r>
        <w:t>三、停车时长分析</w:t>
      </w:r>
    </w:p>
    <w:p w14:paraId="549E3D39">
      <w:pPr>
        <w:spacing w:after="120"/>
      </w:pPr>
      <w:r>
        <w:t>平均停车时长约 3.27 小时；时长区间分布为：&lt;1h 523 笔；1-2h 968 笔；2-4h 1271 笔；4-8h 719 笔；8-24h 185 笔；&gt;=24h 8 笔。最长停车 165.45 小时，支付方式为优惠券。</w:t>
      </w:r>
    </w:p>
    <w:p w14:paraId="45ED6091">
      <w:pPr>
        <w:pStyle w:val="2"/>
      </w:pPr>
      <w:r>
        <w:t>四、补充观察</w:t>
      </w:r>
    </w:p>
    <w:p w14:paraId="48D015F4">
      <w:pPr>
        <w:spacing w:after="120"/>
        <w:rPr>
          <w:i/>
          <w:iCs/>
          <w:color w:val="C00000"/>
        </w:rPr>
      </w:pPr>
      <w:r>
        <w:rPr>
          <w:i/>
          <w:iCs/>
          <w:color w:val="C00000"/>
        </w:rPr>
        <w:t xml:space="preserve">【智能体生成的观察内容置于此处 —— </w:t>
      </w:r>
      <w:r>
        <w:rPr>
          <w:rFonts w:hint="eastAsia"/>
          <w:i/>
          <w:iCs/>
          <w:color w:val="C00000"/>
          <w:lang w:val="en-US" w:eastAsia="zh-CN"/>
        </w:rPr>
        <w:t>2</w:t>
      </w:r>
      <w:r>
        <w:rPr>
          <w:i/>
          <w:iCs/>
          <w:color w:val="C00000"/>
        </w:rPr>
        <w:t xml:space="preserve"> 至 </w:t>
      </w:r>
      <w:r>
        <w:rPr>
          <w:rFonts w:hint="eastAsia"/>
          <w:i/>
          <w:iCs/>
          <w:color w:val="C00000"/>
          <w:lang w:val="en-US" w:eastAsia="zh-CN"/>
        </w:rPr>
        <w:t>3</w:t>
      </w:r>
      <w:r>
        <w:rPr>
          <w:i/>
          <w:iCs/>
          <w:color w:val="C00000"/>
        </w:rPr>
        <w:t xml:space="preserve"> 条简洁、有数据支撑、与管理决策相关的要点。</w:t>
      </w:r>
    </w:p>
    <w:p w14:paraId="75F47DAF">
      <w:pPr>
        <w:spacing w:after="120"/>
        <w:rPr>
          <w:i/>
          <w:iCs/>
          <w:color w:val="C00000"/>
        </w:rPr>
      </w:pPr>
      <w:r>
        <w:rPr>
          <w:i/>
          <w:iCs/>
          <w:color w:val="C00000"/>
        </w:rPr>
        <w:t>读者对象：负责经营本停车业务的管理者。本节由智能体撰写，不设固定公式。应基于数据给出对决策有价值的洞察 —— 例如收入流失、免费 / 优惠敞口、渠道结构变化、异常情况或时段规律等。】</w:t>
      </w:r>
    </w:p>
    <w:p w14:paraId="51ECD751">
      <w:pPr>
        <w:pStyle w:val="2"/>
      </w:pPr>
      <w:r>
        <w:t>五、结论与建议</w:t>
      </w:r>
    </w:p>
    <w:p w14:paraId="6AB1DF35">
      <w:pPr>
        <w:spacing w:after="120"/>
      </w:pPr>
      <w:r>
        <w:rPr>
          <w:i/>
          <w:iCs/>
          <w:color w:val="C00000"/>
        </w:rPr>
        <w:t>【依据上述分析给出 2 至 4 条可执行的建议。</w:t>
      </w:r>
      <w:r>
        <w:rPr>
          <w:rFonts w:hint="eastAsia"/>
          <w:i/>
          <w:iCs/>
          <w:color w:val="C00000"/>
          <w:lang w:val="en-US" w:eastAsia="zh-CN"/>
        </w:rPr>
        <w:t>如无建议，请说明。</w:t>
      </w:r>
      <w:r>
        <w:rPr>
          <w:i/>
          <w:iCs/>
          <w:color w:val="C00000"/>
        </w:rPr>
        <w:t>】</w:t>
      </w:r>
    </w:p>
    <w:p w14:paraId="409E8DF2">
      <w:pPr>
        <w:spacing w:before="240"/>
        <w:jc w:val="both"/>
      </w:pP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4DB903">
    <w:pPr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16C87F"/>
    <w:multiLevelType w:val="singleLevel"/>
    <w:tmpl w:val="C716C87F"/>
    <w:lvl w:ilvl="0" w:tentative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C3FF69B"/>
    <w:rsid w:val="6C7FE47F"/>
    <w:rsid w:val="ED9DE433"/>
    <w:rsid w:val="F3FF4297"/>
    <w:rsid w:val="FB5C4FFA"/>
    <w:rsid w:val="FFBB89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Noto Sans CJK SC" w:hAnsi="Noto Sans CJK SC" w:eastAsia="Noto Sans CJK SC" w:cs="Noto Sans CJK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Noto Sans CJK SC" w:hAnsi="Noto Sans CJK SC" w:eastAsia="Noto Sans CJK SC" w:cs="Noto Sans CJK SC"/>
      <w:sz w:val="22"/>
      <w:szCs w:val="22"/>
    </w:rPr>
  </w:style>
  <w:style w:type="paragraph" w:styleId="2">
    <w:name w:val="heading 1"/>
    <w:next w:val="1"/>
    <w:qFormat/>
    <w:uiPriority w:val="0"/>
    <w:pPr>
      <w:spacing w:before="280" w:after="160"/>
      <w:outlineLvl w:val="0"/>
    </w:pPr>
    <w:rPr>
      <w:rFonts w:ascii="Noto Sans CJK SC" w:hAnsi="Noto Sans CJK SC" w:eastAsia="Noto Sans CJK SC" w:cs="Noto Sans CJK SC"/>
      <w:b/>
      <w:bCs/>
      <w:color w:val="1F4E79"/>
      <w:sz w:val="30"/>
      <w:szCs w:val="30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Noto Sans CJK SC" w:hAnsi="Noto Sans CJK SC" w:eastAsia="Noto Sans CJK SC" w:cs="Noto Sans CJK SC"/>
      <w:b/>
      <w:bCs/>
      <w:color w:val="2E5E8C"/>
      <w:sz w:val="25"/>
      <w:szCs w:val="25"/>
    </w:rPr>
  </w:style>
  <w:style w:type="paragraph" w:styleId="4">
    <w:name w:val="heading 3"/>
    <w:next w:val="1"/>
    <w:qFormat/>
    <w:uiPriority w:val="0"/>
    <w:rPr>
      <w:rFonts w:ascii="Noto Sans CJK SC" w:hAnsi="Noto Sans CJK SC" w:eastAsia="Noto Sans CJK SC" w:cs="Noto Sans CJK SC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Noto Sans CJK SC" w:hAnsi="Noto Sans CJK SC" w:eastAsia="Noto Sans CJK SC" w:cs="Noto Sans CJK SC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Noto Sans CJK SC" w:hAnsi="Noto Sans CJK SC" w:eastAsia="Noto Sans CJK SC" w:cs="Noto Sans CJK SC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Noto Sans CJK SC" w:hAnsi="Noto Sans CJK SC" w:eastAsia="Noto Sans CJK SC" w:cs="Noto Sans CJK SC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Noto Sans CJK SC" w:hAnsi="Noto Sans CJK SC" w:eastAsia="Noto Sans CJK SC" w:cs="Noto Sans CJK SC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Noto Sans CJK SC" w:hAnsi="Noto Sans CJK SC" w:eastAsia="Noto Sans CJK SC" w:cs="Noto Sans CJK SC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Noto Sans CJK SC" w:hAnsi="Noto Sans CJK SC" w:eastAsia="Noto Sans CJK SC" w:cs="Noto Sans CJK SC"/>
      <w:sz w:val="56"/>
      <w:szCs w:val="56"/>
    </w:rPr>
  </w:style>
  <w:style w:type="paragraph" w:styleId="16">
    <w:name w:val="List Paragraph"/>
    <w:qFormat/>
    <w:uiPriority w:val="0"/>
    <w:rPr>
      <w:rFonts w:ascii="Noto Sans CJK SC" w:hAnsi="Noto Sans CJK SC" w:eastAsia="Noto Sans CJK SC" w:cs="Noto Sans CJK SC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Office_12.1.25897.25897_F1E327BC-269C-435d-A152-05C5408002CA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Frank Gu</cp:lastModifiedBy>
  <dcterms:modified xsi:type="dcterms:W3CDTF">2026-06-05T03:16:40Z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10B37E011DFA28256BCE216A3A7A9FFD_42</vt:lpwstr>
  </property>
</Properties>
</file>