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8EF7D">
      <w:pPr>
        <w:rPr>
          <w:rFonts w:hint="eastAsia"/>
        </w:rPr>
      </w:pPr>
      <w:r>
        <w:rPr>
          <w:rFonts w:hint="eastAsia"/>
        </w:rPr>
        <w:t>乔丽华:《我也是鲁迅的遗物:朱安传》, 上海:上海社会科学院出版社, 2009年初版;北京:九州出版社, 2017年修订版。</w:t>
      </w:r>
    </w:p>
    <w:p w14:paraId="51ACB537">
      <w:pPr>
        <w:rPr>
          <w:rFonts w:hint="eastAsia"/>
        </w:rPr>
      </w:pPr>
      <w:r>
        <w:rPr>
          <w:rFonts w:hint="eastAsia"/>
        </w:rPr>
        <w:t>[1]宗先鸿.论《伤逝》的创作意图与人物原型[J].鲁迅研究月刊,2005,(11):43-47+59.</w:t>
      </w:r>
    </w:p>
    <w:p w14:paraId="384A0552">
      <w:pPr>
        <w:rPr>
          <w:rFonts w:hint="eastAsia"/>
        </w:rPr>
      </w:pPr>
    </w:p>
    <w:p w14:paraId="135208A7">
      <w:pPr>
        <w:rPr>
          <w:rFonts w:hint="eastAsia"/>
        </w:rPr>
      </w:pPr>
    </w:p>
    <w:p w14:paraId="4F8C9F55">
      <w:pPr>
        <w:rPr>
          <w:rFonts w:hint="eastAsia"/>
        </w:rPr>
      </w:pPr>
    </w:p>
    <w:p w14:paraId="015664B3">
      <w:pPr>
        <w:rPr>
          <w:rFonts w:hint="eastAsia"/>
        </w:rPr>
      </w:pPr>
      <w:r>
        <w:rPr>
          <w:rFonts w:hint="eastAsia"/>
        </w:rPr>
        <w:t>[1]梁永.访问俞芳谈许羡苏[J].鲁迅研究动态,1989,(04):53-55.</w:t>
      </w:r>
    </w:p>
    <w:p w14:paraId="53175487">
      <w:pPr>
        <w:rPr>
          <w:rFonts w:hint="eastAsia"/>
        </w:rPr>
      </w:pPr>
      <w:r>
        <w:rPr>
          <w:rFonts w:hint="eastAsia"/>
        </w:rPr>
        <w:t>[1]余锦廉.我谈“鲁迅与许羡苏[J].鲁迅研究月刊,1994,(06):38-42.</w:t>
      </w:r>
    </w:p>
    <w:p w14:paraId="69867667">
      <w:pPr>
        <w:rPr>
          <w:rFonts w:hint="eastAsia"/>
        </w:rPr>
      </w:pPr>
      <w:r>
        <w:rPr>
          <w:rFonts w:hint="eastAsia"/>
        </w:rPr>
        <w:t>[1]房向东.一种诱惑读者好奇心的猜测——关于许羡苏把鲁迅信件交给朱安问题[J].绍兴文理学院学报(哲学社会科学),2005,(03):22-24.</w:t>
      </w:r>
    </w:p>
    <w:p w14:paraId="63311A3D">
      <w:pPr>
        <w:rPr>
          <w:rFonts w:hint="eastAsia"/>
        </w:rPr>
      </w:pPr>
    </w:p>
    <w:p w14:paraId="3B43F770">
      <w:pPr>
        <w:rPr>
          <w:rFonts w:hint="eastAsia"/>
        </w:rPr>
      </w:pPr>
      <w:r>
        <w:rPr>
          <w:rFonts w:hint="eastAsia"/>
        </w:rPr>
        <w:t>[1]钱振文.鲁迅与俞氏三姐妹——“名家的访客”之一[J].博览群书,2019,(04):60-65.</w:t>
      </w:r>
    </w:p>
    <w:p w14:paraId="058A2865">
      <w:pPr>
        <w:rPr>
          <w:rFonts w:hint="eastAsia"/>
        </w:rPr>
      </w:pPr>
    </w:p>
    <w:p w14:paraId="433E3B12">
      <w:pPr>
        <w:rPr>
          <w:rFonts w:hint="eastAsia"/>
        </w:rPr>
      </w:pPr>
    </w:p>
    <w:p w14:paraId="193FD997">
      <w:pPr>
        <w:rPr>
          <w:rFonts w:hint="eastAsia"/>
        </w:rPr>
      </w:pPr>
      <w:r>
        <w:rPr>
          <w:rFonts w:hint="eastAsia"/>
        </w:rPr>
        <w:t>[1]杨衡善.别样角度看鲁迅与青年:马珏的故事[J].鲁迅研究月刊,2010,(07):73-75.</w:t>
      </w:r>
    </w:p>
    <w:p w14:paraId="4F694390">
      <w:pPr>
        <w:rPr>
          <w:rFonts w:hint="eastAsia"/>
        </w:rPr>
      </w:pPr>
      <w:r>
        <w:rPr>
          <w:rFonts w:hint="eastAsia"/>
        </w:rPr>
        <w:t>[1]抱朴.鲁迅与马珏及其它[J].鲁迅研究月刊,2003,(04):78-79.</w:t>
      </w:r>
    </w:p>
    <w:p w14:paraId="295248C0">
      <w:pPr>
        <w:rPr>
          <w:rFonts w:hint="eastAsia"/>
        </w:rPr>
      </w:pPr>
      <w:r>
        <w:rPr>
          <w:rFonts w:hint="eastAsia"/>
        </w:rPr>
        <w:t>[1]朱正.鲁迅“喜欢”过“北大校花”吗?[J].鲁迅研究月刊,2008,(11):95-96.</w:t>
      </w:r>
    </w:p>
    <w:p w14:paraId="2E60F8D7">
      <w:pPr>
        <w:rPr>
          <w:rFonts w:hint="eastAsia"/>
        </w:rPr>
      </w:pPr>
    </w:p>
    <w:p w14:paraId="4F0189B0">
      <w:pPr>
        <w:rPr>
          <w:rFonts w:hint="eastAsia"/>
        </w:rPr>
      </w:pPr>
      <w:r>
        <w:rPr>
          <w:rFonts w:hint="eastAsia"/>
        </w:rPr>
        <w:t>[1]鲁迅、许广平题赠孙斐君《两地书》初版本扉页[J].鲁迅研究月刊,2023,(09):2.</w:t>
      </w:r>
    </w:p>
    <w:p w14:paraId="68EAAD45">
      <w:pPr>
        <w:rPr>
          <w:rFonts w:hint="eastAsia"/>
        </w:rPr>
      </w:pPr>
      <w:r>
        <w:rPr>
          <w:rFonts w:hint="eastAsia"/>
        </w:rPr>
        <w:t>[1]孙斐君先生逝世[J].鲁迅研究月刊,1990,(09):54.</w:t>
      </w:r>
    </w:p>
    <w:p w14:paraId="4191C203">
      <w:pPr>
        <w:rPr>
          <w:rFonts w:hint="eastAsia"/>
        </w:rPr>
      </w:pPr>
    </w:p>
    <w:p w14:paraId="2D5E6F14">
      <w:pPr>
        <w:rPr>
          <w:rFonts w:hint="eastAsia"/>
        </w:rPr>
      </w:pPr>
    </w:p>
    <w:p w14:paraId="00A17638">
      <w:pPr>
        <w:numPr>
          <w:numId w:val="0"/>
        </w:numPr>
        <w:ind w:left="105" w:leftChars="0"/>
        <w:rPr>
          <w:rFonts w:hint="eastAsia"/>
        </w:rPr>
      </w:pPr>
      <w:r>
        <w:rPr>
          <w:rFonts w:hint="eastAsia"/>
        </w:rPr>
        <w:t>唐正杰.女性创作的扶持者——鲁迅与中国现代女作家[J].鲁迅研究月刊,2009,(09):20-26.</w:t>
      </w:r>
    </w:p>
    <w:p w14:paraId="5A5E6C3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朱正.鲁迅交往中的右派分子(二)[J].鲁迅研究月刊,2010,(02):54-65.</w:t>
      </w:r>
    </w:p>
    <w:p w14:paraId="24B2EA99">
      <w:pPr>
        <w:numPr>
          <w:ilvl w:val="0"/>
          <w:numId w:val="0"/>
        </w:numPr>
        <w:rPr>
          <w:rFonts w:hint="eastAsia"/>
        </w:rPr>
      </w:pPr>
    </w:p>
    <w:p w14:paraId="6B4F413F">
      <w:pPr>
        <w:numPr>
          <w:ilvl w:val="0"/>
          <w:numId w:val="0"/>
        </w:numPr>
        <w:rPr>
          <w:rFonts w:hint="eastAsia"/>
        </w:rPr>
      </w:pPr>
    </w:p>
    <w:p w14:paraId="74E4D1B9">
      <w:pPr>
        <w:numPr>
          <w:ilvl w:val="0"/>
          <w:numId w:val="0"/>
        </w:numPr>
        <w:rPr>
          <w:rFonts w:hint="eastAsia"/>
        </w:rPr>
      </w:pPr>
    </w:p>
    <w:p w14:paraId="315FDE2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[1]李建伟,杨金芳.启蒙视阈下中国现代小说中的疾病隐喻——以鲁迅、丁玲、张爱玲的小说为例[J].齐鲁学刊,2016,(05):151-160.</w:t>
      </w:r>
    </w:p>
    <w:p w14:paraId="0D3B36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[1]张国玲.鲁迅与丁玲:现代文学现代性的二重维度——以《离婚》和《莎菲女士的日记》比较为例[J].名作欣赏,2011,(05):150-152.</w:t>
      </w:r>
    </w:p>
    <w:p w14:paraId="5E6B70C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[1]秦林芳.延安前期的丁玲与鲁迅杂文传统[J].鲁迅研究月刊,2008,(08):52-57+77.</w:t>
      </w:r>
    </w:p>
    <w:p w14:paraId="54B123A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[1]贺桂梅.知识分子、女性与革命——从丁玲个案看延安另类实践中的身份政治[J].当代作家评论,2004,(03):112-127.</w:t>
      </w:r>
    </w:p>
    <w:p w14:paraId="09B67A1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[1]唐正杰.女性创作的扶持者——鲁迅与中国现代女作家[J].鲁迅研究月刊,2009,(09):20-26.</w:t>
      </w:r>
    </w:p>
    <w:p w14:paraId="1DF54ED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[1]李美皆.鲁迅在丁玲被禁问题上的态度辨析[J].鲁迅研究月刊,2012,(08):84-88.</w:t>
      </w:r>
    </w:p>
    <w:p w14:paraId="77688E6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[1]赵亮.鲁迅藏《记丁玲》与《商市街》[J].鲁迅研究月刊,2023,(06):92-96+2+97.</w:t>
      </w:r>
    </w:p>
    <w:p w14:paraId="4B699CC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[1]孙辰.鲁迅藏丁玲《母亲》[J].鲁迅研究月刊,2024,(05):91-93.</w:t>
      </w:r>
    </w:p>
    <w:p w14:paraId="4EB00402">
      <w:pPr>
        <w:numPr>
          <w:ilvl w:val="0"/>
          <w:numId w:val="0"/>
        </w:numPr>
        <w:rPr>
          <w:rFonts w:hint="eastAsia"/>
        </w:rPr>
      </w:pPr>
    </w:p>
    <w:p w14:paraId="3C230B62">
      <w:pPr>
        <w:numPr>
          <w:ilvl w:val="0"/>
          <w:numId w:val="0"/>
        </w:numPr>
        <w:rPr>
          <w:rFonts w:hint="eastAsia"/>
        </w:rPr>
      </w:pPr>
    </w:p>
    <w:p w14:paraId="12FE66E8">
      <w:pPr>
        <w:numPr>
          <w:ilvl w:val="0"/>
          <w:numId w:val="0"/>
        </w:numPr>
        <w:rPr>
          <w:rFonts w:hint="eastAsia"/>
        </w:rPr>
      </w:pPr>
    </w:p>
    <w:p w14:paraId="415BA749">
      <w:pPr>
        <w:numPr>
          <w:ilvl w:val="0"/>
          <w:numId w:val="0"/>
        </w:numPr>
        <w:rPr>
          <w:rFonts w:hint="eastAsia"/>
        </w:rPr>
      </w:pPr>
    </w:p>
    <w:p w14:paraId="1604C06A">
      <w:pPr>
        <w:numPr>
          <w:ilvl w:val="0"/>
          <w:numId w:val="0"/>
        </w:numPr>
        <w:rPr>
          <w:rFonts w:hint="eastAsia"/>
        </w:rPr>
      </w:pPr>
    </w:p>
    <w:p w14:paraId="431A4012">
      <w:pPr>
        <w:numPr>
          <w:ilvl w:val="0"/>
          <w:numId w:val="0"/>
        </w:numPr>
        <w:rPr>
          <w:rFonts w:hint="eastAsia"/>
        </w:rPr>
      </w:pPr>
    </w:p>
    <w:p w14:paraId="724F52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[1]李志瑾.从《呼兰河传》看萧红对鲁迅国民性批判的传承[J].文艺理论与批评,2014,(04):130-132.</w:t>
      </w:r>
    </w:p>
    <w:p w14:paraId="0CE6170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[1]秦林芳.鲁迅小说传统与萧红的小说创作[J].鲁迅研究月刊,2000,(01):47-55.</w:t>
      </w:r>
    </w:p>
    <w:p w14:paraId="25E4A58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[1]林敏洁.鲁迅与萧红交往考察──兼论《回忆鲁迅先生》《民族魂鲁迅》[J].新文学史料,2001,(03):126-136.</w:t>
      </w:r>
    </w:p>
    <w:p w14:paraId="7328E87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[1]季红真.鲁迅序言对《生死场》的经典定位之后[J].中国现代文学研究丛刊,2016,(10):1-11.</w:t>
      </w:r>
    </w:p>
    <w:p w14:paraId="600EB31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[1]刘丽华.鲁迅与萧红的故乡情结[J].鲁迅研究月刊,2004,(11):34-42+33.</w:t>
      </w:r>
    </w:p>
    <w:p w14:paraId="0B463D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[1]徐晓杰.空间设置:萧红对鲁迅的继承与创新——以《阿Q正传》《呼兰河传》为视角[J].北方论丛,2015,(04):52-57.</w:t>
      </w:r>
    </w:p>
    <w:p w14:paraId="5953D0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[1]洪亮.独异的“萧红鲁迅”——兼论《马伯乐》与《阿Q正传》之关系[J].鲁迅研究月刊,2012,(09):70-76.</w:t>
      </w:r>
    </w:p>
    <w:p w14:paraId="6940F9D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[1]梁建先.论萧红创作中的鲁迅因素[J].鲁迅研究月刊,2018,(02):24-34.</w:t>
      </w:r>
    </w:p>
    <w:p w14:paraId="5B3249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[1]刘钊.鲁迅批判传统文化的精神延续——以萧红、迟子建对萨满文化的接受差异为例[J].鲁迅研究月刊,2014,(01):61-68+12.</w:t>
      </w:r>
    </w:p>
    <w:p w14:paraId="36D383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[1]张瑞英.“我的人物比我高”——由萧红与鲁迅对待小说人物的异同谈起[J].鲁迅研究月刊,2015,(09):40-49.</w:t>
      </w:r>
    </w:p>
    <w:p w14:paraId="516F56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[1]刘永莉.萧红——鲁迅启蒙文学精神的继承者[J].理论学刊,2003,(06):143-144.</w:t>
      </w:r>
    </w:p>
    <w:p w14:paraId="63F4F6D8">
      <w:pPr>
        <w:numPr>
          <w:ilvl w:val="0"/>
          <w:numId w:val="0"/>
        </w:numPr>
        <w:rPr>
          <w:rFonts w:hint="eastAsia"/>
        </w:rPr>
      </w:pPr>
    </w:p>
    <w:p w14:paraId="73B673C7">
      <w:pPr>
        <w:numPr>
          <w:ilvl w:val="0"/>
          <w:numId w:val="0"/>
        </w:numPr>
        <w:rPr>
          <w:rFonts w:hint="eastAsia"/>
        </w:rPr>
      </w:pPr>
    </w:p>
    <w:p w14:paraId="0489011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[1]孙绍振.杂文式抒情:在曲折的逻辑中深化——读《记念刘和珍君》[J].语文建设,2010,(03):51-54.</w:t>
      </w:r>
    </w:p>
    <w:p w14:paraId="4308A7D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[1]刘高峰.“点”与“线”的表现艺术——谈鲁迅《记念刘和珍君》的艺术手法[J].名作欣赏,2005,(12):30-32.</w:t>
      </w:r>
    </w:p>
    <w:p w14:paraId="1095379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[1]汤天勇,魏诗颖.关于“三一八”事件的三种写法——以《记念刘和珍君》《关于三月十八日的死者》《执政府大屠杀记》为例[J].中学语文教学,2022,(02):48-51.</w:t>
      </w:r>
    </w:p>
    <w:p w14:paraId="565BF66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[1]谢政满.鲁迅先生的时代良知和诗人情怀——《记念刘和珍君》研究综述及教学建议[J].中学语文教学,2014,(07):52-59.</w:t>
      </w:r>
    </w:p>
    <w:p w14:paraId="058BEDE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[1]孙文辉.“说”与“不说”之间——《记念刘和珍君》言说艺术略赏[J].中学语文教学,2017,(02):50-52.</w:t>
      </w:r>
    </w:p>
    <w:p w14:paraId="2F5B2BAD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[1]娄玉玮,李克全.从一处描写说起[J].语文教学通讯,2006,(33):33-34.</w:t>
      </w:r>
    </w:p>
    <w:p w14:paraId="1397387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[1]傅国涌.《语丝》与《现代评论》——以“三·一八”事件发生后为例[J].文艺争鸣,2003,(04):80-83.</w:t>
      </w:r>
    </w:p>
    <w:p w14:paraId="08F42A0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[1]杜运通.直面惨淡人生爱憎各臻其妙——《悼刘和珍杨德群女士》与《记念刘和珍君》比较观[J].名作欣赏,1996,(02):33-41+60.</w:t>
      </w:r>
    </w:p>
    <w:p w14:paraId="74B68E28">
      <w:pPr>
        <w:numPr>
          <w:ilvl w:val="0"/>
          <w:numId w:val="0"/>
        </w:numPr>
        <w:rPr>
          <w:rFonts w:hint="eastAsia"/>
        </w:rPr>
      </w:pPr>
    </w:p>
    <w:p w14:paraId="422A325F">
      <w:pPr>
        <w:numPr>
          <w:numId w:val="0"/>
        </w:numPr>
        <w:ind w:left="105" w:leftChars="0"/>
        <w:rPr>
          <w:rFonts w:hint="eastAsia"/>
        </w:rPr>
      </w:pPr>
      <w:bookmarkStart w:id="0" w:name="_GoBack"/>
      <w:bookmarkEnd w:id="0"/>
    </w:p>
    <w:p w14:paraId="4A33A1E6">
      <w:pPr>
        <w:numPr>
          <w:numId w:val="0"/>
        </w:numPr>
        <w:ind w:left="105" w:leftChars="0"/>
        <w:rPr>
          <w:rFonts w:hint="eastAsia"/>
        </w:rPr>
      </w:pPr>
    </w:p>
    <w:p w14:paraId="58AFCC3D">
      <w:pPr>
        <w:rPr>
          <w:rFonts w:hint="eastAsia"/>
        </w:rPr>
      </w:pPr>
    </w:p>
    <w:p w14:paraId="3AA097D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4476DE"/>
    <w:rsid w:val="1344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2026-02-23T08:37:00Z</dcterms:created>
  <dc:creator>WPS_1692161541</dc:creator>
  <cp:lastModifiedBy>WPS_1692161541</cp:lastModifiedBy>
  <dcterms:modified xsi:type="dcterms:W3CDTF">2026-02-23T11:06:09Z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C199DF6F46C64D4AB00EE9CF37936ABC_11</vt:lpwstr>
  </property>
  <property fmtid="{D5CDD505-2E9C-101B-9397-08002B2CF9AE}" pid="4" name="KSOTemplateDocerSaveRecord">
    <vt:lpwstr>eyJoZGlkIjoiNDhlNGI4YTRhMzE2MDc4ODE5ODM5YjhiZjVjYTkwZGIiLCJ1c2VySWQiOiIxNTIwNDIyNzk4In0=</vt:lpwstr>
  </property>
</Properties>
</file>